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5- ____________/2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_____________________________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53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отношении: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8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работающего, 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слов инвалидности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>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учет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наркологическом кабинете ГАУЗ ЕЦРБ,</w:t>
      </w:r>
    </w:p>
    <w:p>
      <w:pPr>
        <w:spacing w:before="0" w:after="0"/>
        <w:ind w:right="117" w:firstLine="540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Dategrp-9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8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метадон</w:t>
      </w:r>
      <w:r>
        <w:rPr>
          <w:rFonts w:ascii="Times New Roman" w:eastAsia="Times New Roman" w:hAnsi="Times New Roman" w:cs="Times New Roman"/>
          <w:sz w:val="28"/>
          <w:szCs w:val="28"/>
        </w:rPr>
        <w:t>» путем внутривенной инъекции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назначения врача.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считает, что вина последнего установлена и помимо его признания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 факт употребления наркотического средства последнего,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справка ГАУЗ ЕЦРБ о том, что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учет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</w:t>
      </w:r>
      <w:r>
        <w:rPr>
          <w:rFonts w:ascii="Times New Roman" w:eastAsia="Times New Roman" w:hAnsi="Times New Roman" w:cs="Times New Roman"/>
          <w:sz w:val="28"/>
          <w:szCs w:val="28"/>
        </w:rPr>
        <w:t>ркологическом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потребление наркотических средств без назначения врача, за исключением случаев, предусмотренных частью 2 статьи 20.20, статьей 20.22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влечет наложение административного штрафа в размере от четырех тысяч до </w:t>
      </w:r>
      <w:r>
        <w:rPr>
          <w:rStyle w:val="cat-SumInWordsgrp-15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пятнадцати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положение.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полагает необходимым возложить на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 или психотропные вещества без назначения врача,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6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средства, психотропные вещества без назначения врача, возложить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регистрации, то есть в 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19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 «Об утверждении правил контроля за исполнением лицом возложенной на него судьей при назначении административного наказания обязанности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</w:t>
      </w:r>
      <w:r>
        <w:rPr>
          <w:rFonts w:ascii="Times New Roman" w:eastAsia="Times New Roman" w:hAnsi="Times New Roman" w:cs="Times New Roman"/>
          <w:sz w:val="28"/>
          <w:szCs w:val="28"/>
        </w:rPr>
        <w:t>и (или) социальной реабилитации лицом,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5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после вступления в законную силу, направить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получателя </w:t>
      </w:r>
      <w:r>
        <w:rPr>
          <w:rStyle w:val="cat-PhoneNumbergrp-20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/счёт № 03100643000000011100, ОТДЕЛЕНИЕ-НБ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 Управление Федерального казначейства по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2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73111601063010009140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3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0318690900000000026632395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административного штрафа необходимо представить на судебный участок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right="534" w:firstLine="540"/>
        <w:rPr>
          <w:sz w:val="28"/>
          <w:szCs w:val="28"/>
        </w:rPr>
      </w:pPr>
    </w:p>
    <w:p>
      <w:pPr>
        <w:spacing w:before="0" w:after="0"/>
        <w:ind w:right="53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1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1rplc-42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Dategrp-8rplc-6">
    <w:name w:val="cat-Date grp-8 rplc-6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SumInWordsgrp-15rplc-17">
    <w:name w:val="cat-SumInWords grp-15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PhoneNumbergrp-19rplc-22">
    <w:name w:val="cat-PhoneNumber grp-19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SumInWordsgrp-15rplc-27">
    <w:name w:val="cat-SumInWords grp-1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OrganizationNamegrp-17rplc-34">
    <w:name w:val="cat-OrganizationName grp-17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1rplc-41">
    <w:name w:val="cat-FIO grp-11 rplc-41"/>
    <w:basedOn w:val="DefaultParagraphFont"/>
  </w:style>
  <w:style w:type="character" w:customStyle="1" w:styleId="cat-FIOgrp-11rplc-42">
    <w:name w:val="cat-FIO grp-1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