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3DF" w:rsidP="00EA42D7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5-165/2022</w:t>
      </w:r>
    </w:p>
    <w:p w:rsidR="004843DF" w:rsidP="00EA42D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0095-01-2022-000890-21</w:t>
      </w:r>
    </w:p>
    <w:p w:rsidR="004843DF" w:rsidP="00EA42D7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4843DF" w:rsidP="00EA42D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4843DF" w:rsidP="00EA42D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4843DF" w:rsidP="00EA42D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30 марта 2022 года                                                                            г. Бугульма</w:t>
      </w:r>
    </w:p>
    <w:p w:rsidR="004843DF" w:rsidP="00EA4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г. Бугульма, ул. Ленина, д.18А, рассмотрев дело об административном правонарушении, предусмотренном частью 3 статьи 14.1 Кодекса Российской Федерации об административных правонарушениях (далее - КоАП РФ) в отношении Коноваловой </w:t>
      </w:r>
      <w:r w:rsidR="00FB5FF7">
        <w:rPr>
          <w:sz w:val="28"/>
          <w:szCs w:val="28"/>
        </w:rPr>
        <w:t>Л.А.</w:t>
      </w:r>
      <w:r>
        <w:rPr>
          <w:sz w:val="28"/>
          <w:szCs w:val="28"/>
        </w:rPr>
        <w:t xml:space="preserve">, </w:t>
      </w:r>
      <w:r w:rsidR="00FB5FF7">
        <w:rPr>
          <w:sz w:val="28"/>
          <w:szCs w:val="28"/>
        </w:rPr>
        <w:t>*****</w:t>
      </w:r>
      <w:r>
        <w:rPr>
          <w:sz w:val="28"/>
          <w:szCs w:val="28"/>
        </w:rPr>
        <w:t>,</w:t>
      </w:r>
    </w:p>
    <w:p w:rsidR="004843DF" w:rsidP="00EA42D7">
      <w:pPr>
        <w:ind w:firstLine="567"/>
        <w:jc w:val="both"/>
        <w:rPr>
          <w:sz w:val="28"/>
          <w:szCs w:val="28"/>
        </w:rPr>
      </w:pPr>
    </w:p>
    <w:p w:rsidR="004843DF" w:rsidP="00EA42D7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4843DF" w:rsidP="00EA42D7">
      <w:pPr>
        <w:ind w:firstLine="540"/>
        <w:jc w:val="center"/>
        <w:rPr>
          <w:bCs/>
          <w:sz w:val="28"/>
          <w:szCs w:val="28"/>
        </w:rPr>
      </w:pPr>
    </w:p>
    <w:p w:rsidR="004843DF" w:rsidP="00D15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из протокола об административном правонарушении следует, что 9 марта 2022 года уполномоченным должностным лицом Управления </w:t>
      </w:r>
      <w:r>
        <w:rPr>
          <w:sz w:val="28"/>
          <w:szCs w:val="28"/>
        </w:rPr>
        <w:t>Роскомнадзора</w:t>
      </w:r>
      <w:r>
        <w:rPr>
          <w:sz w:val="28"/>
          <w:szCs w:val="28"/>
        </w:rPr>
        <w:t xml:space="preserve"> по Республике Татарстан при осуществлении планового наблюдения за соблюдением АО «Почта России» сроков пересылки</w:t>
      </w:r>
      <w:r w:rsidRPr="00FA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корреспонденции выявлено, что  заместителем начальника по операционному управлению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МРП УФПС «Татарстан </w:t>
      </w:r>
      <w:r>
        <w:rPr>
          <w:sz w:val="28"/>
          <w:szCs w:val="28"/>
        </w:rPr>
        <w:t>почтасы</w:t>
      </w:r>
      <w:r>
        <w:rPr>
          <w:sz w:val="28"/>
          <w:szCs w:val="28"/>
        </w:rPr>
        <w:t>» АО «Почта России» Коноваловой Л.А.,  должностным лицом ответственным за соблюдение норм действующего законодательства в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связи, в нарушение требований установленных абзацем 2 подпункта «а» пункта 2 Нормативов частоты сбора из почтовых ящиков, обмена, перевозки и доставки письменной корреспонденции, а также контрольные сроки пересылки письменной корреспонденции, утвержденных приказом Министерства цифрового развития, связи и массовых коммуникаций РФ от 4 июня 2018 года №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 нарушены нормативы частоты сбора письменной корреспонденции из почтового ящика №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, расположенного по адресу: 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 на 1 день</w:t>
      </w:r>
      <w:r>
        <w:rPr>
          <w:sz w:val="28"/>
          <w:szCs w:val="28"/>
        </w:rPr>
        <w:t xml:space="preserve">, в частности  2 контрольных письма, опущенных в указанный почтовый ящик 19 января 2022 года, в 13 часов 01 минуту, были изъяты ответственным сотрудником  20 января 2022 года, тогда как согласно установленному графику время выемки писем составляет </w:t>
      </w:r>
      <w:r>
        <w:rPr>
          <w:sz w:val="28"/>
          <w:szCs w:val="28"/>
        </w:rPr>
        <w:t>вт-сб</w:t>
      </w:r>
      <w:r>
        <w:rPr>
          <w:sz w:val="28"/>
          <w:szCs w:val="28"/>
        </w:rPr>
        <w:t xml:space="preserve"> -14 часов 30 минут, </w:t>
      </w:r>
      <w:r>
        <w:rPr>
          <w:sz w:val="28"/>
          <w:szCs w:val="28"/>
        </w:rPr>
        <w:t>пн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вс</w:t>
      </w:r>
      <w:r>
        <w:rPr>
          <w:sz w:val="28"/>
          <w:szCs w:val="28"/>
        </w:rPr>
        <w:t xml:space="preserve">-выходные дни. Кроме того, Коноваловой Л.А. нарушены требования пункта 8 Правил оказания услуг  почтовой связи, утвержденных приказом </w:t>
      </w:r>
      <w:r>
        <w:rPr>
          <w:sz w:val="28"/>
          <w:szCs w:val="28"/>
        </w:rPr>
        <w:t>Минкомсвязи</w:t>
      </w:r>
      <w:r>
        <w:rPr>
          <w:sz w:val="28"/>
          <w:szCs w:val="28"/>
        </w:rPr>
        <w:t xml:space="preserve"> от 31 июля 2014 года, а именно на почтовом ящике, расположенном по адресу: </w:t>
      </w:r>
      <w:r w:rsidRPr="00FB5FF7" w:rsidR="00FB5FF7">
        <w:rPr>
          <w:sz w:val="28"/>
          <w:szCs w:val="28"/>
        </w:rPr>
        <w:t>*****</w:t>
      </w:r>
      <w:r w:rsidR="00FB5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присвоенный почтовому ящику номер, дни недели и время, в которые осуществляется выемка письменной корреспонденции.                   </w:t>
      </w:r>
    </w:p>
    <w:p w:rsidR="004843DF" w:rsidP="008E71C1">
      <w:pPr>
        <w:spacing w:line="25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судебное заседание Коновалова Л.А. не явилась, извещена телефонограммой, ходатайств об отложении рассмотрения дела в суд не поступило. </w:t>
      </w:r>
    </w:p>
    <w:p w:rsidR="004843DF" w:rsidRPr="00E47439" w:rsidP="00614DA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</w:t>
      </w:r>
      <w:r w:rsidRPr="00E47439">
        <w:rPr>
          <w:color w:val="000000"/>
          <w:sz w:val="28"/>
          <w:szCs w:val="28"/>
        </w:rPr>
        <w:t>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4843DF" w:rsidRPr="00E47439" w:rsidP="00614DA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4843DF" w:rsidP="00614D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части 3 статьи 14.1 КоАП РФ осуществление предпринимательской деятельности с нарушением требований и условий, предусмотренных специальным разрешением (лицензией), влечет предупреждение или наложение административного штрафа на должностных лиц - от трех тысяч до четырех тысяч рублей.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ФГУП "Почта России" оказывает услуги почтовой связи на основании лицензии N 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11 апреля 2018 года.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5 Лицензионных требований лицензиат обязан оказывать услуги связи в соответствии с правилами оказания услуг почтовой связи, утвержденными Правительством РФ.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color w:val="0000FF"/>
            <w:sz w:val="28"/>
            <w:szCs w:val="28"/>
          </w:rPr>
          <w:t>пп</w:t>
        </w:r>
        <w:r>
          <w:rPr>
            <w:color w:val="0000FF"/>
            <w:sz w:val="28"/>
            <w:szCs w:val="28"/>
          </w:rPr>
          <w:t>. "а"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"в" пункта 46</w:t>
        </w:r>
      </w:hyperlink>
      <w:r>
        <w:rPr>
          <w:sz w:val="28"/>
          <w:szCs w:val="28"/>
        </w:rPr>
        <w:t xml:space="preserve"> Правил оказания услуг почтовой связи, утвержденных Приказом </w:t>
      </w:r>
      <w:r>
        <w:rPr>
          <w:sz w:val="28"/>
          <w:szCs w:val="28"/>
        </w:rPr>
        <w:t>Минкомсвязи</w:t>
      </w:r>
      <w:r>
        <w:rPr>
          <w:sz w:val="28"/>
          <w:szCs w:val="28"/>
        </w:rPr>
        <w:t xml:space="preserve"> России от 31 июля 2014 года N 234, операторы почтовой связи обязаны пересылать почтовые отправления и осуществлять почтовые переводы в установленные сроки; обеспечивать качество услуг почтовой связи в соответствии с нормативными правовыми актами, регламентирующими деятельность в области почтовой связи, и условиями договора.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"а", "б" пункта 2 Приказа Министерства цифрового развития связи и массовых коммуникаций Российской Федерации от 4 июля 2018 года N 257, нормативы частоты сбора из почтовых ящиков письменной корреспонденции составляют: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из почтовых ящиков, расположенных вне объектов почтовой связи: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внутригородской территории городов федерального значения, на территории административных центров субъектов Российской Федерации - ежедневно не менее 1 раза в день;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административных центров муниципальных районов - не реже 4 дней в неделю не менее 1 раза в день;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иных поселений - не реже 2 дней в неделю не менее 1 раза в день;</w:t>
      </w:r>
    </w:p>
    <w:p w:rsidR="004843DF" w:rsidP="00AB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из почтовых ящиков, расположенных внутри объектов почтовой связи - в соответствии с частотой обмене и перевозки письменной корреспонденции между объектами почтовой связи.</w:t>
      </w:r>
    </w:p>
    <w:p w:rsidR="004843DF" w:rsidP="00237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9 марта 2022 года уполномоченным должностным лицом Управления </w:t>
      </w:r>
      <w:r>
        <w:rPr>
          <w:sz w:val="28"/>
          <w:szCs w:val="28"/>
        </w:rPr>
        <w:t>Роскомнадзора</w:t>
      </w:r>
      <w:r>
        <w:rPr>
          <w:sz w:val="28"/>
          <w:szCs w:val="28"/>
        </w:rPr>
        <w:t xml:space="preserve"> по Республике Татарстан при осуществлении планового наблюдения за соблюдением АО «Почта России» сроков пересылки</w:t>
      </w:r>
      <w:r w:rsidRPr="00FA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корреспонденции выявлено, что на почтовом ящике, расположенном по адресу: </w:t>
      </w:r>
      <w:r w:rsidRPr="00FB5FF7" w:rsidR="00FB5FF7">
        <w:rPr>
          <w:sz w:val="28"/>
          <w:szCs w:val="28"/>
        </w:rPr>
        <w:t>*****</w:t>
      </w:r>
      <w:r w:rsidR="00FB5FF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 присвоенный почтовому ящику номер, дни недели и время, в которые осуществляется выемка письменной корреспонденции.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Кроме того, 19 января 2022 года, в 14 часов 31 минуту, </w:t>
      </w:r>
      <w:r>
        <w:rPr>
          <w:sz w:val="28"/>
          <w:szCs w:val="28"/>
        </w:rPr>
        <w:t xml:space="preserve">заместителем начальника по операционному управлению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МРП УФПС «Татарстан </w:t>
      </w:r>
      <w:r>
        <w:rPr>
          <w:sz w:val="28"/>
          <w:szCs w:val="28"/>
        </w:rPr>
        <w:t>почтасы</w:t>
      </w:r>
      <w:r>
        <w:rPr>
          <w:sz w:val="28"/>
          <w:szCs w:val="28"/>
        </w:rPr>
        <w:t xml:space="preserve">» АО «Почта России» Коноваловой Л.А.,  должностным лицом ответственным за соблюдение норм действующего законодательства в области связи, нарушены сроки выемки письменной корреспонденции из почтового ящика, в частности  2 контрольных письма оформленных на имя </w:t>
      </w:r>
      <w:r w:rsidR="00FB5FF7">
        <w:rPr>
          <w:sz w:val="28"/>
          <w:szCs w:val="28"/>
        </w:rPr>
        <w:t>Я</w:t>
      </w:r>
      <w:r>
        <w:rPr>
          <w:sz w:val="28"/>
          <w:szCs w:val="28"/>
        </w:rPr>
        <w:t xml:space="preserve">. и </w:t>
      </w:r>
      <w:r w:rsidR="00FB5FF7">
        <w:rPr>
          <w:sz w:val="28"/>
          <w:szCs w:val="28"/>
        </w:rPr>
        <w:t>В</w:t>
      </w:r>
      <w:r>
        <w:rPr>
          <w:sz w:val="28"/>
          <w:szCs w:val="28"/>
        </w:rPr>
        <w:t>. и опущенных 19</w:t>
      </w:r>
      <w:r>
        <w:rPr>
          <w:sz w:val="28"/>
          <w:szCs w:val="28"/>
        </w:rPr>
        <w:t xml:space="preserve"> января 2022 года, в 13 часов 01 минуту, в почтовый ящик №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расположенный по адресу:</w:t>
      </w:r>
      <w:r w:rsidRPr="00FB5FF7" w:rsidR="00FB5FF7">
        <w:t xml:space="preserve"> 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, были изъяты ответственным сотрудником  АО «Почта России» 20 января 2022 года, тогда как согласно установленному графику время выемки писем составляет </w:t>
      </w:r>
      <w:r>
        <w:rPr>
          <w:sz w:val="28"/>
          <w:szCs w:val="28"/>
        </w:rPr>
        <w:t>вт-сб</w:t>
      </w:r>
      <w:r>
        <w:rPr>
          <w:sz w:val="28"/>
          <w:szCs w:val="28"/>
        </w:rPr>
        <w:t xml:space="preserve"> -14 часов 30 минут, </w:t>
      </w:r>
      <w:r>
        <w:rPr>
          <w:sz w:val="28"/>
          <w:szCs w:val="28"/>
        </w:rPr>
        <w:t>пн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вс</w:t>
      </w:r>
      <w:r>
        <w:rPr>
          <w:sz w:val="28"/>
          <w:szCs w:val="28"/>
        </w:rPr>
        <w:t xml:space="preserve">-выходные дни. Ошибочное указание в протоколе об административном правонарушении  времени совершения административного правонарушения как 13 часов 25 минут 19 января 2022 года не является основанием для признания протокола об административном правонарушении недопустимым доказательством и не служит основанием для прекращения производства по делу.  </w:t>
      </w:r>
    </w:p>
    <w:p w:rsidR="004843DF" w:rsidP="002378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пунктом 3.15 Должностной инструкции заместитель начальника почтамта по операционному управлению организует работу отделений почтовой связи по соблюдению нормативов частоты выемки письменной корреспонденции из почтовых ящиков, осуществляет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наличием информации на почтовых ящиках в соответствии с требованиями правил оказания услуг почтовой связи. </w:t>
      </w:r>
    </w:p>
    <w:p w:rsidR="004843DF" w:rsidP="002378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выписки из приказа от 13 марта 2020 года №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/пер с 13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года Коновалова Л.А. переведена на должность заместителя начальника по операционному управлению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МРП УФПС «Татарстан </w:t>
      </w:r>
      <w:r>
        <w:rPr>
          <w:sz w:val="28"/>
          <w:szCs w:val="28"/>
        </w:rPr>
        <w:t>почтасы</w:t>
      </w:r>
      <w:r>
        <w:rPr>
          <w:sz w:val="28"/>
          <w:szCs w:val="28"/>
        </w:rPr>
        <w:t xml:space="preserve">» АО «Почта России». </w:t>
      </w:r>
    </w:p>
    <w:p w:rsidR="004843DF" w:rsidP="00D11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Коноваловой Л.А.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>от 17 марта 2022 года; копией лицензии №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11 апреля 2018 года; заданием о проведении планового наблюдения за соблюдением обязательных требований в отношении АО «Почта России»; копией писем</w:t>
      </w:r>
      <w:r w:rsidRPr="002B0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</w:t>
      </w:r>
      <w:r w:rsidR="00FB5FF7">
        <w:rPr>
          <w:sz w:val="28"/>
          <w:szCs w:val="28"/>
        </w:rPr>
        <w:t>Я</w:t>
      </w:r>
      <w:r>
        <w:rPr>
          <w:sz w:val="28"/>
          <w:szCs w:val="28"/>
        </w:rPr>
        <w:t xml:space="preserve">. и </w:t>
      </w:r>
      <w:r w:rsidR="00FB5FF7">
        <w:rPr>
          <w:sz w:val="28"/>
          <w:szCs w:val="28"/>
        </w:rPr>
        <w:t>В</w:t>
      </w:r>
      <w:r>
        <w:rPr>
          <w:sz w:val="28"/>
          <w:szCs w:val="28"/>
        </w:rPr>
        <w:t>.;</w:t>
      </w:r>
      <w:r>
        <w:rPr>
          <w:sz w:val="28"/>
          <w:szCs w:val="28"/>
        </w:rPr>
        <w:t xml:space="preserve"> протоколом мониторинга почтовых ящиков №</w:t>
      </w:r>
      <w:r w:rsidRPr="00FB5FF7" w:rsidR="00FB5FF7">
        <w:rPr>
          <w:sz w:val="28"/>
          <w:szCs w:val="28"/>
        </w:rPr>
        <w:t>*****</w:t>
      </w:r>
      <w:r>
        <w:rPr>
          <w:sz w:val="28"/>
          <w:szCs w:val="28"/>
        </w:rPr>
        <w:t>; копией выписки из приказа от 13 марта 2020 года; должностной инструкцией заместителя начальника почтамта по операционному управлению; ведомостью рассылки контрольных писем и другими материалами дела.</w:t>
      </w:r>
    </w:p>
    <w:p w:rsidR="004843DF" w:rsidP="00EF6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Коноваловой Л.А. мировой судья квалифицирует по части 3 статье 14.1 КоАП РФ, как</w:t>
      </w:r>
      <w:r w:rsidRPr="00BA1E7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4843DF" w:rsidP="00DF1F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виновной, ее имущественного положения, мировой судья считает необходимым назначить Коноваловой Л.А. наказание в виде административного штрафа в минимальном размере, предусмотренном санкцией статьи. </w:t>
      </w:r>
    </w:p>
    <w:p w:rsidR="004843DF" w:rsidP="00EA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 и руководствуясь статьями 29.9 и 29.10 КоАП РФ, мировой судья</w:t>
      </w:r>
    </w:p>
    <w:p w:rsidR="004843DF" w:rsidP="00EA42D7">
      <w:pPr>
        <w:ind w:firstLine="709"/>
        <w:jc w:val="both"/>
        <w:rPr>
          <w:sz w:val="28"/>
          <w:szCs w:val="28"/>
        </w:rPr>
      </w:pPr>
    </w:p>
    <w:p w:rsidR="004843DF" w:rsidP="00EA42D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4843DF" w:rsidP="00EA42D7">
      <w:pPr>
        <w:ind w:firstLine="709"/>
        <w:jc w:val="center"/>
        <w:rPr>
          <w:bCs/>
          <w:sz w:val="28"/>
          <w:szCs w:val="28"/>
        </w:rPr>
      </w:pPr>
    </w:p>
    <w:p w:rsidR="004843DF" w:rsidP="00DF1F6C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признать заместителя начальника по операционному управлению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МРП УФПС «Татарстан </w:t>
      </w:r>
      <w:r>
        <w:rPr>
          <w:sz w:val="28"/>
          <w:szCs w:val="28"/>
        </w:rPr>
        <w:t>почтасы</w:t>
      </w:r>
      <w:r>
        <w:rPr>
          <w:sz w:val="28"/>
          <w:szCs w:val="28"/>
        </w:rPr>
        <w:t xml:space="preserve">» АО «Почта России» Коновалову </w:t>
      </w:r>
      <w:r w:rsidR="00FB5FF7">
        <w:rPr>
          <w:sz w:val="28"/>
          <w:szCs w:val="28"/>
        </w:rPr>
        <w:t>Л.А.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3 статьи 14.1  Кодекса Российской Федерации об административных правонарушениях, и назначить наказание в виде административного штрафа в размере 3000 (трех тысяч) рублей.</w:t>
      </w:r>
    </w:p>
    <w:p w:rsidR="004843DF" w:rsidP="00DF1F6C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4843DF" w:rsidP="00DF1F6C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4843DF" w:rsidP="00DF1F6C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43DF" w:rsidP="00DF1F6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4843DF" w:rsidP="00DF1F6C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подпись                        </w:t>
      </w:r>
    </w:p>
    <w:p w:rsidR="004843DF" w:rsidP="00DF1F6C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843DF" w:rsidP="00DF1F6C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843DF" w:rsidP="00DF1F6C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4843DF" w:rsidP="00DF1F6C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843DF" w:rsidP="00EA42D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sectPr w:rsidSect="00556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E"/>
    <w:rsid w:val="00054525"/>
    <w:rsid w:val="0006188E"/>
    <w:rsid w:val="00080B22"/>
    <w:rsid w:val="00083AEE"/>
    <w:rsid w:val="000B4A02"/>
    <w:rsid w:val="000C0DEA"/>
    <w:rsid w:val="000C68E3"/>
    <w:rsid w:val="000E6BC5"/>
    <w:rsid w:val="000E7605"/>
    <w:rsid w:val="0011374A"/>
    <w:rsid w:val="001374AA"/>
    <w:rsid w:val="001633D2"/>
    <w:rsid w:val="001D3371"/>
    <w:rsid w:val="001F19D5"/>
    <w:rsid w:val="0022139C"/>
    <w:rsid w:val="0022158B"/>
    <w:rsid w:val="00223FA7"/>
    <w:rsid w:val="00232C3A"/>
    <w:rsid w:val="0023787C"/>
    <w:rsid w:val="0024412E"/>
    <w:rsid w:val="0028188E"/>
    <w:rsid w:val="002A2672"/>
    <w:rsid w:val="002A7D1A"/>
    <w:rsid w:val="002B0B0A"/>
    <w:rsid w:val="002C3ACD"/>
    <w:rsid w:val="002D0404"/>
    <w:rsid w:val="00313067"/>
    <w:rsid w:val="003149C2"/>
    <w:rsid w:val="0033423E"/>
    <w:rsid w:val="003410C0"/>
    <w:rsid w:val="003A5671"/>
    <w:rsid w:val="003A693E"/>
    <w:rsid w:val="003D6F3F"/>
    <w:rsid w:val="00434BD6"/>
    <w:rsid w:val="00437CA0"/>
    <w:rsid w:val="0044156E"/>
    <w:rsid w:val="004843DF"/>
    <w:rsid w:val="004A7FD5"/>
    <w:rsid w:val="004C1F8C"/>
    <w:rsid w:val="004D08A6"/>
    <w:rsid w:val="004D13F4"/>
    <w:rsid w:val="004F1C7F"/>
    <w:rsid w:val="00504B24"/>
    <w:rsid w:val="0050609B"/>
    <w:rsid w:val="00556FE5"/>
    <w:rsid w:val="005642BB"/>
    <w:rsid w:val="00564E27"/>
    <w:rsid w:val="00572BE0"/>
    <w:rsid w:val="00590333"/>
    <w:rsid w:val="005B1932"/>
    <w:rsid w:val="005C544B"/>
    <w:rsid w:val="005D02A1"/>
    <w:rsid w:val="005D27EF"/>
    <w:rsid w:val="005E38A8"/>
    <w:rsid w:val="005E4E7A"/>
    <w:rsid w:val="00614DA7"/>
    <w:rsid w:val="006230A3"/>
    <w:rsid w:val="006339A6"/>
    <w:rsid w:val="006449DA"/>
    <w:rsid w:val="00675D8E"/>
    <w:rsid w:val="00683A99"/>
    <w:rsid w:val="006B6424"/>
    <w:rsid w:val="006E7DD8"/>
    <w:rsid w:val="0073599F"/>
    <w:rsid w:val="00751BD3"/>
    <w:rsid w:val="00754B4E"/>
    <w:rsid w:val="00763998"/>
    <w:rsid w:val="007C73B4"/>
    <w:rsid w:val="007F22CE"/>
    <w:rsid w:val="00815A2B"/>
    <w:rsid w:val="008329FF"/>
    <w:rsid w:val="0085365A"/>
    <w:rsid w:val="00860B2F"/>
    <w:rsid w:val="00862D13"/>
    <w:rsid w:val="008751BE"/>
    <w:rsid w:val="008A0805"/>
    <w:rsid w:val="008A7A73"/>
    <w:rsid w:val="008B0BF4"/>
    <w:rsid w:val="008B3C9E"/>
    <w:rsid w:val="008D198E"/>
    <w:rsid w:val="008E71C1"/>
    <w:rsid w:val="008F3AA7"/>
    <w:rsid w:val="00902E29"/>
    <w:rsid w:val="009044A6"/>
    <w:rsid w:val="00942BE1"/>
    <w:rsid w:val="00947076"/>
    <w:rsid w:val="0097437E"/>
    <w:rsid w:val="009823AA"/>
    <w:rsid w:val="00985EC4"/>
    <w:rsid w:val="009A6E16"/>
    <w:rsid w:val="009B49C8"/>
    <w:rsid w:val="009C4423"/>
    <w:rsid w:val="009C5E5F"/>
    <w:rsid w:val="009F0D8E"/>
    <w:rsid w:val="00A14FE3"/>
    <w:rsid w:val="00A21140"/>
    <w:rsid w:val="00A7583D"/>
    <w:rsid w:val="00A9515B"/>
    <w:rsid w:val="00A9676D"/>
    <w:rsid w:val="00AB39B1"/>
    <w:rsid w:val="00AD69A9"/>
    <w:rsid w:val="00AF5E13"/>
    <w:rsid w:val="00B251FD"/>
    <w:rsid w:val="00B813CF"/>
    <w:rsid w:val="00B91C8C"/>
    <w:rsid w:val="00B9212E"/>
    <w:rsid w:val="00B95B8E"/>
    <w:rsid w:val="00BA1E73"/>
    <w:rsid w:val="00BA40E3"/>
    <w:rsid w:val="00BD63E3"/>
    <w:rsid w:val="00BD7762"/>
    <w:rsid w:val="00BF2FE3"/>
    <w:rsid w:val="00C14D25"/>
    <w:rsid w:val="00C27814"/>
    <w:rsid w:val="00C50182"/>
    <w:rsid w:val="00C70922"/>
    <w:rsid w:val="00CA4FB2"/>
    <w:rsid w:val="00CB343D"/>
    <w:rsid w:val="00CC3C2F"/>
    <w:rsid w:val="00CF262E"/>
    <w:rsid w:val="00D05F7B"/>
    <w:rsid w:val="00D11389"/>
    <w:rsid w:val="00D15438"/>
    <w:rsid w:val="00D3137B"/>
    <w:rsid w:val="00D525E8"/>
    <w:rsid w:val="00D563F2"/>
    <w:rsid w:val="00D571C0"/>
    <w:rsid w:val="00D820AD"/>
    <w:rsid w:val="00DC162A"/>
    <w:rsid w:val="00DD5970"/>
    <w:rsid w:val="00DD60A4"/>
    <w:rsid w:val="00DF1F6C"/>
    <w:rsid w:val="00DF406E"/>
    <w:rsid w:val="00E044B2"/>
    <w:rsid w:val="00E47439"/>
    <w:rsid w:val="00E7230F"/>
    <w:rsid w:val="00E96219"/>
    <w:rsid w:val="00EA42D7"/>
    <w:rsid w:val="00EB22A0"/>
    <w:rsid w:val="00EB7A99"/>
    <w:rsid w:val="00EC10DC"/>
    <w:rsid w:val="00EF699F"/>
    <w:rsid w:val="00F1511A"/>
    <w:rsid w:val="00F2400B"/>
    <w:rsid w:val="00F41BC0"/>
    <w:rsid w:val="00F559DE"/>
    <w:rsid w:val="00F95459"/>
    <w:rsid w:val="00FA4163"/>
    <w:rsid w:val="00FA5E96"/>
    <w:rsid w:val="00FA64CA"/>
    <w:rsid w:val="00FA69F4"/>
    <w:rsid w:val="00FA7936"/>
    <w:rsid w:val="00FB5FF7"/>
    <w:rsid w:val="00FC600C"/>
    <w:rsid w:val="00FD57EE"/>
    <w:rsid w:val="00FF6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42D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A42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A42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EA42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42D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EA42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A42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uiPriority w:val="99"/>
    <w:rsid w:val="00EA42D7"/>
    <w:rPr>
      <w:rFonts w:cs="Times New Roman"/>
    </w:rPr>
  </w:style>
  <w:style w:type="character" w:customStyle="1" w:styleId="20">
    <w:name w:val="Основной текст (2)"/>
    <w:basedOn w:val="DefaultParagraphFont"/>
    <w:uiPriority w:val="99"/>
    <w:rsid w:val="00EA42D7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uiPriority w:val="99"/>
    <w:rsid w:val="00EA42D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556F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56FE5"/>
    <w:rPr>
      <w:rFonts w:ascii="Segoe UI" w:hAnsi="Segoe UI" w:cs="Segoe UI"/>
      <w:sz w:val="18"/>
      <w:szCs w:val="18"/>
      <w:lang w:eastAsia="ru-RU"/>
    </w:rPr>
  </w:style>
  <w:style w:type="character" w:customStyle="1" w:styleId="22">
    <w:name w:val="Основной текст (2)_"/>
    <w:link w:val="210"/>
    <w:uiPriority w:val="99"/>
    <w:locked/>
    <w:rsid w:val="009B49C8"/>
    <w:rPr>
      <w:shd w:val="clear" w:color="auto" w:fill="FFFFFF"/>
    </w:rPr>
  </w:style>
  <w:style w:type="paragraph" w:customStyle="1" w:styleId="210">
    <w:name w:val="Основной текст (2)1"/>
    <w:basedOn w:val="Normal"/>
    <w:link w:val="22"/>
    <w:uiPriority w:val="99"/>
    <w:rsid w:val="009B49C8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F1F0776F949F85D29FD74F4BC6B091B4FD69B91F288BC5A7BF85EAE355203BB421F0C37DAB2CF5DA7B10E125EF6A5DED6326A06AE6A021k1D8N" TargetMode="External" /><Relationship Id="rId5" Type="http://schemas.openxmlformats.org/officeDocument/2006/relationships/hyperlink" Target="consultantplus://offline/ref=B4F1F0776F949F85D29FD74F4BC6B091B4FD69B91F288BC5A7BF85EAE355203BB421F0C37DAB2CF5D87B10E125EF6A5DED6326A06AE6A021k1D8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