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4FF" w:rsidRPr="004276B5" w:rsidP="001D14FF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4276B5">
        <w:rPr>
          <w:sz w:val="24"/>
          <w:szCs w:val="24"/>
        </w:rPr>
        <w:t>Дело №5-334/2022</w:t>
      </w:r>
    </w:p>
    <w:p w:rsidR="001D14FF" w:rsidRPr="004276B5" w:rsidP="001D14FF">
      <w:pPr>
        <w:jc w:val="right"/>
        <w:rPr>
          <w:sz w:val="24"/>
          <w:szCs w:val="24"/>
        </w:rPr>
      </w:pPr>
      <w:r w:rsidRPr="004276B5">
        <w:rPr>
          <w:sz w:val="24"/>
          <w:szCs w:val="24"/>
        </w:rPr>
        <w:t xml:space="preserve">                                                                              УИД 16 </w:t>
      </w:r>
      <w:r w:rsidRPr="004276B5">
        <w:rPr>
          <w:sz w:val="24"/>
          <w:szCs w:val="24"/>
          <w:lang w:val="en-US"/>
        </w:rPr>
        <w:t>ms</w:t>
      </w:r>
      <w:r w:rsidRPr="004276B5">
        <w:rPr>
          <w:sz w:val="24"/>
          <w:szCs w:val="24"/>
        </w:rPr>
        <w:t xml:space="preserve"> 0093-01-2022-001678-91</w:t>
      </w:r>
    </w:p>
    <w:p w:rsidR="001D14FF" w:rsidP="001D14FF">
      <w:pPr>
        <w:pStyle w:val="Title"/>
        <w:outlineLvl w:val="0"/>
        <w:rPr>
          <w:b w:val="0"/>
          <w:sz w:val="27"/>
          <w:szCs w:val="27"/>
        </w:rPr>
      </w:pPr>
    </w:p>
    <w:p w:rsidR="001D14FF" w:rsidP="001D14FF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1D14FF" w:rsidP="001D14FF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1D14FF" w:rsidP="001D14FF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30 мая 2022 года    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126B3F" w:rsidP="00126B3F">
      <w:pPr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</w:t>
      </w:r>
      <w:r w:rsidR="00A81CFF">
        <w:rPr>
          <w:b/>
          <w:sz w:val="27"/>
          <w:szCs w:val="27"/>
        </w:rPr>
        <w:t>*</w:t>
      </w:r>
      <w:r>
        <w:rPr>
          <w:rFonts w:ascii="Times New Roman CYR" w:hAnsi="Times New Roman CYR" w:cs="Times New Roman CYR"/>
          <w:sz w:val="26"/>
          <w:szCs w:val="26"/>
        </w:rPr>
        <w:t>,</w:t>
      </w:r>
    </w:p>
    <w:p w:rsidR="001D14FF" w:rsidP="001D14FF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1D14FF" w:rsidP="001D14FF">
      <w:pPr>
        <w:ind w:firstLine="709"/>
        <w:jc w:val="center"/>
        <w:rPr>
          <w:bCs/>
          <w:sz w:val="16"/>
          <w:szCs w:val="16"/>
        </w:rPr>
      </w:pPr>
    </w:p>
    <w:p w:rsidR="001D14FF" w:rsidP="001D14F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мая 2022 года, в 18 часов 26 минут, </w:t>
      </w:r>
      <w:r>
        <w:rPr>
          <w:sz w:val="27"/>
          <w:szCs w:val="27"/>
        </w:rPr>
        <w:t>Хуснутдинова</w:t>
      </w:r>
      <w:r>
        <w:rPr>
          <w:sz w:val="27"/>
          <w:szCs w:val="27"/>
        </w:rPr>
        <w:t xml:space="preserve"> Г.Н., находясь по адресу: </w:t>
      </w:r>
      <w:r w:rsidR="00A81CFF">
        <w:rPr>
          <w:b/>
          <w:sz w:val="27"/>
          <w:szCs w:val="27"/>
        </w:rPr>
        <w:t>*</w:t>
      </w:r>
      <w:r>
        <w:rPr>
          <w:sz w:val="27"/>
          <w:szCs w:val="27"/>
        </w:rPr>
        <w:t xml:space="preserve">, осуществила заведомо ложный вызов полиции, сообщив, что ее сожитель В.А., 05.06.1978 года рождения, ударил ее по голове пустой бутылкой. Опрошенные свидетели пояснили, что </w:t>
      </w:r>
      <w:r>
        <w:rPr>
          <w:sz w:val="27"/>
          <w:szCs w:val="27"/>
        </w:rPr>
        <w:t>Хуснутдинову</w:t>
      </w:r>
      <w:r>
        <w:rPr>
          <w:sz w:val="27"/>
          <w:szCs w:val="27"/>
        </w:rPr>
        <w:t xml:space="preserve"> Г.Н. никто не бил, ножом не угрожал, она сама вела себя неадекватно, таким образом данный факт не подтвердился.</w:t>
      </w:r>
    </w:p>
    <w:p w:rsidR="001D14FF" w:rsidP="001D14FF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Хуснутдинова</w:t>
      </w:r>
      <w:r>
        <w:rPr>
          <w:rFonts w:ascii="Times New Roman" w:hAnsi="Times New Roman" w:cs="Times New Roman"/>
          <w:sz w:val="27"/>
          <w:szCs w:val="27"/>
        </w:rPr>
        <w:t xml:space="preserve"> Г.Н. не явилась, судебная корреспонденция на его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представила. </w:t>
      </w:r>
    </w:p>
    <w:p w:rsidR="001D14FF" w:rsidRPr="00375470" w:rsidP="001D14FF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375470">
        <w:rPr>
          <w:sz w:val="27"/>
          <w:szCs w:val="27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D14FF" w:rsidRPr="00375470" w:rsidP="001D14FF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375470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1D14FF" w:rsidP="001D14FF">
      <w:pPr>
        <w:ind w:firstLine="709"/>
        <w:jc w:val="both"/>
        <w:rPr>
          <w:sz w:val="27"/>
          <w:szCs w:val="27"/>
        </w:rPr>
      </w:pPr>
      <w:r w:rsidRPr="00375470">
        <w:rPr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Pr="00375470">
        <w:rPr>
          <w:sz w:val="27"/>
          <w:szCs w:val="27"/>
        </w:rPr>
        <w:t>Хуснутдиновой</w:t>
      </w:r>
      <w:r w:rsidRPr="00375470">
        <w:rPr>
          <w:sz w:val="27"/>
          <w:szCs w:val="27"/>
        </w:rPr>
        <w:t xml:space="preserve"> Г.Н. образуют состав административного правонарушения, предусмотренного</w:t>
      </w:r>
      <w:r>
        <w:rPr>
          <w:sz w:val="27"/>
          <w:szCs w:val="27"/>
        </w:rPr>
        <w:t xml:space="preserve"> статьёй 19.13 КоАП РФ.</w:t>
      </w:r>
    </w:p>
    <w:p w:rsidR="001D14FF" w:rsidP="001D14FF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1D14FF" w:rsidP="001D14F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доказывается письменными материалами дела, а именно: протоколом об административном правонарушении №</w:t>
      </w:r>
      <w:r w:rsidR="00A81CFF">
        <w:rPr>
          <w:b/>
          <w:sz w:val="27"/>
          <w:szCs w:val="27"/>
        </w:rPr>
        <w:t>*</w:t>
      </w:r>
      <w:r>
        <w:rPr>
          <w:sz w:val="27"/>
          <w:szCs w:val="27"/>
        </w:rPr>
        <w:t xml:space="preserve">от 3 мая 2022 года; карточками вызовов </w:t>
      </w:r>
      <w:r w:rsidR="00A81CFF">
        <w:rPr>
          <w:b/>
          <w:sz w:val="27"/>
          <w:szCs w:val="27"/>
        </w:rPr>
        <w:t>*</w:t>
      </w:r>
      <w:r w:rsidR="00A81CFF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от 2 мая 2022 года; письменными объяснениями Чуева В.А., Чуева А.М., О.В.; </w:t>
      </w:r>
      <w:r w:rsidR="004276B5">
        <w:rPr>
          <w:sz w:val="27"/>
          <w:szCs w:val="27"/>
        </w:rPr>
        <w:t xml:space="preserve">рапортами УУП А.В., С.В.; справкой о привлечении </w:t>
      </w:r>
      <w:r w:rsidR="004276B5">
        <w:rPr>
          <w:sz w:val="27"/>
          <w:szCs w:val="27"/>
        </w:rPr>
        <w:t>Хуснутдиновой</w:t>
      </w:r>
      <w:r w:rsidR="004276B5">
        <w:rPr>
          <w:sz w:val="27"/>
          <w:szCs w:val="27"/>
        </w:rPr>
        <w:t xml:space="preserve"> Г.Н. к административной ответственности</w:t>
      </w:r>
      <w:r>
        <w:rPr>
          <w:sz w:val="27"/>
          <w:szCs w:val="27"/>
        </w:rPr>
        <w:t xml:space="preserve"> и другими материалами дела.        </w:t>
      </w:r>
    </w:p>
    <w:p w:rsidR="001D14FF" w:rsidP="001D14F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1D14FF" w:rsidP="004276B5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состав административного правонарушения, предусмотренного статьёй 19.13 КоАП РФ, с учётом характера </w:t>
      </w:r>
      <w:r>
        <w:rPr>
          <w:sz w:val="27"/>
          <w:szCs w:val="27"/>
        </w:rPr>
        <w:t>совершенного административного правонарушения, личности правонарушителя, которая за последний календарный год неоднократно привлекалась к административной ответственности за совершение однородных правонарушений, однако должных выводов для себя не сделала, вновь совершив правонарушение, а также всех обстоятельств дела, руководствуясь статьями 29.9., 29.10 КоАП РФ, мировой судья</w:t>
      </w:r>
    </w:p>
    <w:p w:rsidR="001D14FF" w:rsidP="004276B5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4276B5" w:rsidRPr="004276B5" w:rsidP="004276B5">
      <w:pPr>
        <w:jc w:val="center"/>
        <w:rPr>
          <w:bCs/>
          <w:sz w:val="16"/>
          <w:szCs w:val="16"/>
        </w:rPr>
      </w:pPr>
    </w:p>
    <w:p w:rsidR="001D14FF" w:rsidP="004276B5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</w:t>
      </w:r>
      <w:r>
        <w:rPr>
          <w:sz w:val="27"/>
          <w:szCs w:val="27"/>
        </w:rPr>
        <w:t>Хуснутдинову</w:t>
      </w:r>
      <w:r>
        <w:rPr>
          <w:sz w:val="27"/>
          <w:szCs w:val="27"/>
        </w:rPr>
        <w:t xml:space="preserve"> </w:t>
      </w:r>
      <w:r w:rsidR="00A81CFF">
        <w:rPr>
          <w:b/>
          <w:sz w:val="27"/>
          <w:szCs w:val="27"/>
        </w:rPr>
        <w:t>*</w:t>
      </w:r>
      <w:r w:rsidR="00A81CFF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 Кодекса Российской Федерации об административных правонарушениях и на основании данной статьи назначить ей наказание в виде административного штрафа в размере 1 500 (одной тысячи пятисот) рублей. </w:t>
      </w:r>
    </w:p>
    <w:p w:rsidR="001D14FF" w:rsidP="001D14FF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1D14FF" w:rsidP="001D14FF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D14FF" w:rsidP="001D14FF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D14FF" w:rsidP="001D14FF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1D14FF" w:rsidP="001D14FF">
      <w:pPr>
        <w:pStyle w:val="BodyTextIndent"/>
        <w:spacing w:after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1D14FF" w:rsidP="001D14FF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1D14FF" w:rsidP="001D14FF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1D14FF" w:rsidRPr="004276B5" w:rsidP="001D14FF">
      <w:pPr>
        <w:pStyle w:val="BodyTextIndent"/>
        <w:spacing w:after="0"/>
        <w:ind w:left="709"/>
        <w:rPr>
          <w:sz w:val="16"/>
          <w:szCs w:val="16"/>
        </w:rPr>
      </w:pPr>
    </w:p>
    <w:p w:rsidR="001D14FF" w:rsidP="001D14FF">
      <w:pPr>
        <w:pStyle w:val="BodyTextIndent"/>
        <w:spacing w:after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«____»___</w:t>
      </w:r>
      <w:r w:rsidR="004276B5">
        <w:rPr>
          <w:sz w:val="27"/>
          <w:szCs w:val="27"/>
        </w:rPr>
        <w:t>__________ 2022</w:t>
      </w:r>
      <w:r>
        <w:rPr>
          <w:sz w:val="27"/>
          <w:szCs w:val="27"/>
        </w:rPr>
        <w:t xml:space="preserve"> года</w:t>
      </w:r>
    </w:p>
    <w:p w:rsidR="001D14FF" w:rsidP="001D14FF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1D14FF" w:rsidP="001D14FF">
      <w:pPr>
        <w:pStyle w:val="BodyTextIndent"/>
        <w:spacing w:before="200" w:after="0"/>
        <w:ind w:left="0"/>
        <w:jc w:val="both"/>
        <w:rPr>
          <w:bCs/>
          <w:sz w:val="22"/>
          <w:szCs w:val="22"/>
        </w:rPr>
      </w:pPr>
    </w:p>
    <w:p w:rsidR="007E1924" w:rsidP="00A81CFF">
      <w:pPr>
        <w:pStyle w:val="BodyTextIndent"/>
        <w:spacing w:after="0"/>
        <w:ind w:left="0"/>
      </w:pPr>
      <w:r>
        <w:rPr>
          <w:b/>
          <w:sz w:val="27"/>
          <w:szCs w:val="27"/>
        </w:rPr>
        <w:t>*</w:t>
      </w:r>
    </w:p>
    <w:sectPr w:rsidSect="0037547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B4"/>
    <w:rsid w:val="00126B3F"/>
    <w:rsid w:val="001D14FF"/>
    <w:rsid w:val="00375470"/>
    <w:rsid w:val="004276B5"/>
    <w:rsid w:val="007E1924"/>
    <w:rsid w:val="008D17B4"/>
    <w:rsid w:val="00A81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D14FF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1D1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D14F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1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D14FF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D1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1D14FF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1D14FF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1D14FF"/>
  </w:style>
  <w:style w:type="paragraph" w:styleId="BalloonText">
    <w:name w:val="Balloon Text"/>
    <w:basedOn w:val="Normal"/>
    <w:link w:val="a1"/>
    <w:uiPriority w:val="99"/>
    <w:semiHidden/>
    <w:unhideWhenUsed/>
    <w:rsid w:val="004276B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7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