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23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F49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F4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0F4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0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, начальника отдела капитального строительства акционерного общества «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0F49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 об устранении нарушений требований в области охраны окружающей среды, а именно: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пользование недрами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с нарушением условий к лицензии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, а именно: эксплуатация куст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К-2.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71а (скв.2857, 2519, 2605, 2404)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(проект «Обустройства 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Куст 2.71а </w:t>
      </w:r>
      <w:r w:rsidRPr="000F49EA"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(скв.2857, 2519, 2605, 2404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), куст 2.76а (скв.3042, 3043, 3044, 3045, 3046, 3047) (6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очередь)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», положительное заключение государственной экспертизы №0</w:t>
      </w:r>
      <w:r w:rsidR="00A00FF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206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/КГЭ-0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131/0</w:t>
      </w:r>
      <w:r w:rsidR="009E78C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23.10.2019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разрешение на строительство 16-92646000-1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713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0F49EA">
        <w:rPr>
          <w:rFonts w:ascii="Times New Roman" w:eastAsia="Calibri" w:hAnsi="Times New Roman" w:cs="Times New Roman"/>
          <w:sz w:val="28"/>
          <w:szCs w:val="28"/>
          <w:lang w:eastAsia="ru-RU"/>
        </w:rPr>
        <w:t>19.02.2020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), введенных (по состоянию на 01.03.2020г. находятся в действующем эксплуатационном фонде) без разрешения на ввод в эксплуатацию, выданного уполномоченным органом – распорядителем недр</w:t>
      </w:r>
      <w:r w:rsidR="00CD0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29.04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 приказа №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от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10.05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ответственным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лицом за устранение выявленных нарушений согласно акта проверки №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29.04.2021г.,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назначен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начальник отдела капитального строительства общества Вафин Р.Р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23.11.2021г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. выявлено, что предписани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не выполнен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о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2824A2" w:rsidR="002824A2">
        <w:rPr>
          <w:rFonts w:ascii="Times New Roman" w:eastAsia="Calibri" w:hAnsi="Times New Roman" w:cs="Calibri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F306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F1E1C">
        <w:rPr>
          <w:rFonts w:ascii="Times New Roman" w:eastAsia="Calibri" w:hAnsi="Times New Roman" w:cs="Times New Roman"/>
          <w:sz w:val="28"/>
          <w:szCs w:val="28"/>
          <w:lang w:eastAsia="ru-RU"/>
        </w:rPr>
        <w:t>783426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306F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04AD6"/>
    <w:rsid w:val="00063B1F"/>
    <w:rsid w:val="00080B71"/>
    <w:rsid w:val="000A5ED3"/>
    <w:rsid w:val="000F49EA"/>
    <w:rsid w:val="00122D11"/>
    <w:rsid w:val="001F104D"/>
    <w:rsid w:val="00214C5A"/>
    <w:rsid w:val="00231A8A"/>
    <w:rsid w:val="00257D15"/>
    <w:rsid w:val="002824A2"/>
    <w:rsid w:val="00284CB3"/>
    <w:rsid w:val="002A6E1D"/>
    <w:rsid w:val="002A6F57"/>
    <w:rsid w:val="002C26A4"/>
    <w:rsid w:val="0034214A"/>
    <w:rsid w:val="00343053"/>
    <w:rsid w:val="003614E8"/>
    <w:rsid w:val="00384D2D"/>
    <w:rsid w:val="003B3DBC"/>
    <w:rsid w:val="003E19E4"/>
    <w:rsid w:val="003E2103"/>
    <w:rsid w:val="003F306F"/>
    <w:rsid w:val="00421504"/>
    <w:rsid w:val="0044243E"/>
    <w:rsid w:val="00444F04"/>
    <w:rsid w:val="00474E39"/>
    <w:rsid w:val="004B38E6"/>
    <w:rsid w:val="004D234B"/>
    <w:rsid w:val="004E6CBB"/>
    <w:rsid w:val="004F2D08"/>
    <w:rsid w:val="004F73B9"/>
    <w:rsid w:val="0051173C"/>
    <w:rsid w:val="005B212C"/>
    <w:rsid w:val="005F1E1C"/>
    <w:rsid w:val="006260C0"/>
    <w:rsid w:val="00631C3D"/>
    <w:rsid w:val="00640067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B2678"/>
    <w:rsid w:val="007D1D78"/>
    <w:rsid w:val="00800494"/>
    <w:rsid w:val="00803F97"/>
    <w:rsid w:val="008343E6"/>
    <w:rsid w:val="00871C6D"/>
    <w:rsid w:val="00927995"/>
    <w:rsid w:val="00934590"/>
    <w:rsid w:val="009348F5"/>
    <w:rsid w:val="00940276"/>
    <w:rsid w:val="009A7D92"/>
    <w:rsid w:val="009B664C"/>
    <w:rsid w:val="009D37CC"/>
    <w:rsid w:val="009D7328"/>
    <w:rsid w:val="009E78CD"/>
    <w:rsid w:val="00A00FF5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A4041"/>
    <w:rsid w:val="00BC03EE"/>
    <w:rsid w:val="00BE69B4"/>
    <w:rsid w:val="00C03D17"/>
    <w:rsid w:val="00C33CB9"/>
    <w:rsid w:val="00C830F7"/>
    <w:rsid w:val="00CD07BD"/>
    <w:rsid w:val="00CF794E"/>
    <w:rsid w:val="00D068EF"/>
    <w:rsid w:val="00D25DD7"/>
    <w:rsid w:val="00E249E2"/>
    <w:rsid w:val="00E52201"/>
    <w:rsid w:val="00E861B3"/>
    <w:rsid w:val="00EC16AB"/>
    <w:rsid w:val="00EE225F"/>
    <w:rsid w:val="00EF0090"/>
    <w:rsid w:val="00EF6263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