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34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E347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E347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E347B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BE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г.Альметьевск, ул.</w:t>
      </w:r>
      <w:r w:rsidRPr="00BE5CEB"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BE5CEB"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5CE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E347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34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5E347B">
        <w:rPr>
          <w:rFonts w:ascii="Times New Roman" w:hAnsi="Times New Roman" w:cs="Times New Roman"/>
          <w:sz w:val="28"/>
          <w:szCs w:val="28"/>
        </w:rPr>
        <w:t>23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5E347B">
        <w:rPr>
          <w:rFonts w:ascii="Times New Roman" w:hAnsi="Times New Roman" w:cs="Times New Roman"/>
          <w:sz w:val="28"/>
          <w:szCs w:val="28"/>
        </w:rPr>
        <w:t>7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5E347B">
        <w:rPr>
          <w:rFonts w:ascii="Times New Roman" w:hAnsi="Times New Roman" w:cs="Times New Roman"/>
          <w:sz w:val="28"/>
          <w:szCs w:val="28"/>
        </w:rPr>
        <w:t>1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43A71">
        <w:rPr>
          <w:rFonts w:ascii="Times New Roman" w:hAnsi="Times New Roman" w:cs="Times New Roman"/>
          <w:sz w:val="28"/>
          <w:szCs w:val="28"/>
        </w:rPr>
        <w:t>19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5E347B">
        <w:rPr>
          <w:rFonts w:ascii="Times New Roman" w:hAnsi="Times New Roman" w:cs="Times New Roman"/>
          <w:sz w:val="28"/>
          <w:szCs w:val="28"/>
        </w:rPr>
        <w:t>5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</w:t>
      </w:r>
      <w:r w:rsidR="005E347B">
        <w:rPr>
          <w:rFonts w:ascii="Times New Roman" w:hAnsi="Times New Roman" w:cs="Times New Roman"/>
          <w:sz w:val="28"/>
          <w:szCs w:val="28"/>
        </w:rPr>
        <w:t>9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34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5E34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BE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E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E347B">
        <w:rPr>
          <w:rFonts w:ascii="Times New Roman" w:eastAsia="Calibri" w:hAnsi="Times New Roman" w:cs="Times New Roman"/>
          <w:sz w:val="28"/>
          <w:szCs w:val="28"/>
          <w:lang w:eastAsia="ru-RU"/>
        </w:rPr>
        <w:t>533227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CEB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B2CBE"/>
    <w:rsid w:val="000C597E"/>
    <w:rsid w:val="000C7A9B"/>
    <w:rsid w:val="000D7DE7"/>
    <w:rsid w:val="00102278"/>
    <w:rsid w:val="00103CC2"/>
    <w:rsid w:val="001E2E9E"/>
    <w:rsid w:val="0020345E"/>
    <w:rsid w:val="002539A1"/>
    <w:rsid w:val="002606DC"/>
    <w:rsid w:val="00292FDD"/>
    <w:rsid w:val="002A2EA1"/>
    <w:rsid w:val="002C3B9A"/>
    <w:rsid w:val="002E2473"/>
    <w:rsid w:val="003210AE"/>
    <w:rsid w:val="003507EE"/>
    <w:rsid w:val="00447739"/>
    <w:rsid w:val="00482C04"/>
    <w:rsid w:val="00487AEE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923A5"/>
    <w:rsid w:val="005B23AC"/>
    <w:rsid w:val="005E347B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829B8"/>
    <w:rsid w:val="00890C38"/>
    <w:rsid w:val="00932906"/>
    <w:rsid w:val="00936DB7"/>
    <w:rsid w:val="00960EB7"/>
    <w:rsid w:val="009851DC"/>
    <w:rsid w:val="0099735E"/>
    <w:rsid w:val="009B2A68"/>
    <w:rsid w:val="00A623FE"/>
    <w:rsid w:val="00A64F47"/>
    <w:rsid w:val="00A67B39"/>
    <w:rsid w:val="00A91B37"/>
    <w:rsid w:val="00A97C37"/>
    <w:rsid w:val="00AB2404"/>
    <w:rsid w:val="00AD1789"/>
    <w:rsid w:val="00AD5C4F"/>
    <w:rsid w:val="00B1764F"/>
    <w:rsid w:val="00BE189B"/>
    <w:rsid w:val="00BE5CEB"/>
    <w:rsid w:val="00C05F4B"/>
    <w:rsid w:val="00C607C1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