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A60255" w14:paraId="417F0A62" w14:textId="4F69BE6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14</w:t>
      </w:r>
      <w:r w:rsidR="00640F92">
        <w:rPr>
          <w:sz w:val="24"/>
          <w:szCs w:val="24"/>
        </w:rPr>
        <w:t>6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9284EA3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3D7B4F">
        <w:rPr>
          <w:sz w:val="28"/>
          <w:szCs w:val="28"/>
        </w:rPr>
        <w:t>000</w:t>
      </w:r>
      <w:r w:rsidR="005C41B8">
        <w:rPr>
          <w:sz w:val="28"/>
          <w:szCs w:val="28"/>
        </w:rPr>
        <w:t>43</w:t>
      </w:r>
      <w:r w:rsidR="00D02722">
        <w:rPr>
          <w:sz w:val="28"/>
          <w:szCs w:val="28"/>
        </w:rPr>
        <w:t>6</w:t>
      </w:r>
      <w:r w:rsidR="005C41B8">
        <w:rPr>
          <w:sz w:val="28"/>
          <w:szCs w:val="28"/>
        </w:rPr>
        <w:t>-</w:t>
      </w:r>
      <w:r w:rsidR="00D02722">
        <w:rPr>
          <w:sz w:val="28"/>
          <w:szCs w:val="28"/>
        </w:rPr>
        <w:t>26</w:t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="00A60255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640F92">
        <w:rPr>
          <w:sz w:val="28"/>
          <w:szCs w:val="28"/>
        </w:rPr>
        <w:t>6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A60255" w:rsidP="00A60255" w14:paraId="37D70864" w14:textId="7DB40CBC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E2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E208C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E20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FCEEF4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E208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E208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640F92">
        <w:rPr>
          <w:sz w:val="28"/>
          <w:szCs w:val="28"/>
        </w:rPr>
        <w:t>73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A60255" w:rsidP="00A60255" w14:paraId="797B5A73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A60255" w:rsidP="00A60255" w14:paraId="0C49F3AD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02B48A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640F92">
        <w:rPr>
          <w:rFonts w:ascii="Times New Roman" w:hAnsi="Times New Roman" w:cs="Times New Roman"/>
          <w:sz w:val="28"/>
          <w:szCs w:val="28"/>
        </w:rPr>
        <w:t>73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8E208C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640F92">
        <w:rPr>
          <w:rFonts w:ascii="Times New Roman" w:hAnsi="Times New Roman" w:cs="Times New Roman"/>
          <w:sz w:val="28"/>
          <w:szCs w:val="28"/>
        </w:rPr>
        <w:t xml:space="preserve">2030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E208C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29A3B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E208C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A60255" w:rsidRPr="009371A7" w:rsidP="00A60255" w14:paraId="285A32C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A60255" w:rsidRPr="009371A7" w:rsidP="00A60255" w14:paraId="275BD5D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0CC360A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E2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E208C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A6025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919721"/>
      <w:docPartObj>
        <w:docPartGallery w:val="Page Numbers (Top of Page)"/>
        <w:docPartUnique/>
      </w:docPartObj>
    </w:sdtPr>
    <w:sdtContent>
      <w:p w:rsidR="00A60255" w14:paraId="7B872B82" w14:textId="24C1031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08C">
          <w:rPr>
            <w:noProof/>
          </w:rPr>
          <w:t>4</w:t>
        </w:r>
        <w:r>
          <w:fldChar w:fldCharType="end"/>
        </w:r>
      </w:p>
    </w:sdtContent>
  </w:sdt>
  <w:p w:rsidR="00A60255" w14:paraId="568E297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208C"/>
    <w:rsid w:val="008E604E"/>
    <w:rsid w:val="008F6082"/>
    <w:rsid w:val="009030DE"/>
    <w:rsid w:val="00911777"/>
    <w:rsid w:val="009168DD"/>
    <w:rsid w:val="009371A7"/>
    <w:rsid w:val="00971818"/>
    <w:rsid w:val="009816AD"/>
    <w:rsid w:val="009A207E"/>
    <w:rsid w:val="009B799C"/>
    <w:rsid w:val="009C1C76"/>
    <w:rsid w:val="009C409E"/>
    <w:rsid w:val="009D4A85"/>
    <w:rsid w:val="00A37BE4"/>
    <w:rsid w:val="00A40DB6"/>
    <w:rsid w:val="00A4249F"/>
    <w:rsid w:val="00A60255"/>
    <w:rsid w:val="00A63FDF"/>
    <w:rsid w:val="00A66B2D"/>
    <w:rsid w:val="00A70E5E"/>
    <w:rsid w:val="00AB5844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D43CC"/>
    <w:rsid w:val="00CE3833"/>
    <w:rsid w:val="00D02722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D5773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6025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60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A6025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602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