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A86739" w:rsidR="00A86739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A86739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86739"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6739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6739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A86739"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51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04FB4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B4B52">
        <w:rPr>
          <w:rFonts w:ascii="Times New Roman" w:hAnsi="Times New Roman" w:cs="Times New Roman"/>
          <w:sz w:val="28"/>
          <w:szCs w:val="28"/>
        </w:rPr>
        <w:t>Готлевской</w:t>
      </w:r>
      <w:r w:rsidR="008B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Н.И., 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>,</w:t>
      </w:r>
      <w:r w:rsidR="00187C6D">
        <w:rPr>
          <w:rFonts w:ascii="Times New Roman" w:hAnsi="Times New Roman" w:cs="Times New Roman"/>
          <w:sz w:val="28"/>
          <w:szCs w:val="28"/>
        </w:rPr>
        <w:t xml:space="preserve"> ранее привлекавшейся к административной ответственности</w:t>
      </w:r>
      <w:r w:rsidRPr="0065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061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Готлевская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Н.И</w:t>
      </w:r>
      <w:r w:rsidR="004B76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час.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263B07" w:rsidR="00263B07">
        <w:t xml:space="preserve"> </w:t>
      </w:r>
      <w:r w:rsidRPr="00263B07"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 именно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лежала на </w:t>
      </w:r>
      <w:r w:rsidR="00F42388">
        <w:rPr>
          <w:rFonts w:ascii="Times New Roman" w:eastAsia="Batang" w:hAnsi="Times New Roman" w:cs="Times New Roman"/>
          <w:sz w:val="28"/>
          <w:szCs w:val="28"/>
          <w:lang w:eastAsia="ru-RU"/>
        </w:rPr>
        <w:t>обочине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4238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автодороги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хххх</w:t>
      </w:r>
      <w:r w:rsidR="00F4238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возле д.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ххххх</w:t>
      </w:r>
      <w:r w:rsidR="00F4238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Азнакаевского района РТ,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координация движения была нарушена, имел</w:t>
      </w:r>
      <w:r w:rsidR="00F42388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неопрятный внешний вид, изо рта исходил резкий запах алкоголя, тем самым оскорбил</w:t>
      </w:r>
      <w:r w:rsidR="00F42388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этом основании в отношении </w:t>
      </w:r>
      <w:r w:rsidR="00F42388">
        <w:rPr>
          <w:rFonts w:ascii="Times New Roman" w:eastAsia="Batang" w:hAnsi="Times New Roman" w:cs="Times New Roman"/>
          <w:sz w:val="28"/>
          <w:szCs w:val="28"/>
          <w:lang w:eastAsia="ru-RU"/>
        </w:rPr>
        <w:t>Готлевской Н.И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>. был составлен протокол</w:t>
      </w:r>
      <w:r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ст. 20.21 КоАП РФ.</w:t>
      </w:r>
    </w:p>
    <w:p w:rsidR="009473A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Готлевская Н.И</w:t>
      </w:r>
      <w:r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судебное заседание явил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>, процессуальные права, предусмотренные ст. 25.1 КоАП РФ, а также положения ст. 51 Конституции РФ, были 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й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разъяснены и понятны, отвода суду не заявлял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>, свою вину в совершении административного правонарушения, предусмотренного ст. 20.21 Кодекса РФ об административных правонарушениях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F42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Готлевскую Н.И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88">
        <w:rPr>
          <w:rFonts w:ascii="Times New Roman" w:eastAsia="Times New Roman" w:hAnsi="Times New Roman" w:cs="Times New Roman"/>
          <w:sz w:val="28"/>
          <w:szCs w:val="28"/>
          <w:lang w:eastAsia="ru-RU"/>
        </w:rPr>
        <w:t>0900791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от прибора Алкотектор № </w:t>
      </w:r>
      <w:r w:rsidR="00F4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902749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показатель составил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1,126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мг/л, 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 в КУСП № </w:t>
      </w:r>
      <w:r w:rsidR="00F42388">
        <w:rPr>
          <w:rFonts w:ascii="Times New Roman" w:eastAsia="Times New Roman" w:hAnsi="Times New Roman" w:cs="Times New Roman"/>
          <w:sz w:val="28"/>
          <w:szCs w:val="28"/>
          <w:lang w:eastAsia="ru-RU"/>
        </w:rPr>
        <w:t>2278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объяснениями, 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Готлевской Н.И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8DB" w:rsidR="008C499C">
        <w:rPr>
          <w:rFonts w:ascii="Times New Roman" w:hAnsi="Times New Roman" w:cs="Times New Roman"/>
          <w:sz w:val="28"/>
          <w:szCs w:val="28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F22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8F22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общественных местах в состоянии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алкогольного опьянения, оскорбляющем человеческое достоинство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8F22C4">
        <w:rPr>
          <w:rFonts w:ascii="Times New Roman" w:hAnsi="Times New Roman" w:cs="Times New Roman"/>
          <w:sz w:val="28"/>
        </w:rPr>
        <w:t>Готлевской Н.И.</w:t>
      </w:r>
      <w:r w:rsidRPr="00772644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Готлевская Н.И. </w:t>
      </w:r>
      <w:r w:rsidRPr="001E724A">
        <w:rPr>
          <w:sz w:val="28"/>
          <w:szCs w:val="28"/>
        </w:rPr>
        <w:t xml:space="preserve">не относится к числу лиц, указанных в ст. 3.9 ч. 2 КоАП РФ, </w:t>
      </w:r>
      <w:r w:rsidRPr="001E724A">
        <w:rPr>
          <w:sz w:val="28"/>
          <w:szCs w:val="28"/>
        </w:rPr>
        <w:t>которым не может быть назначен административный арест, по состоянию здоровья он</w:t>
      </w:r>
      <w:r>
        <w:rPr>
          <w:sz w:val="28"/>
          <w:szCs w:val="28"/>
        </w:rPr>
        <w:t>а</w:t>
      </w:r>
      <w:r w:rsidRPr="001E724A">
        <w:rPr>
          <w:sz w:val="28"/>
          <w:szCs w:val="28"/>
        </w:rPr>
        <w:t xml:space="preserve">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Готлевская Н.И.</w:t>
      </w:r>
      <w:r w:rsidRPr="001E724A">
        <w:rPr>
          <w:sz w:val="28"/>
          <w:szCs w:val="28"/>
        </w:rPr>
        <w:t xml:space="preserve"> доставлен</w:t>
      </w:r>
      <w:r>
        <w:rPr>
          <w:sz w:val="28"/>
          <w:szCs w:val="28"/>
        </w:rPr>
        <w:t>а</w:t>
      </w:r>
      <w:r w:rsidRPr="001E724A">
        <w:rPr>
          <w:sz w:val="28"/>
          <w:szCs w:val="28"/>
        </w:rPr>
        <w:t xml:space="preserve"> в отдел полиции для составления протокола об административном правонарушении по ст. </w:t>
      </w:r>
      <w:r>
        <w:rPr>
          <w:sz w:val="28"/>
          <w:szCs w:val="28"/>
        </w:rPr>
        <w:t xml:space="preserve">20.21 </w:t>
      </w:r>
      <w:r w:rsidRPr="001E724A">
        <w:rPr>
          <w:sz w:val="28"/>
          <w:szCs w:val="28"/>
        </w:rPr>
        <w:t>КоАП РФ</w:t>
      </w:r>
      <w:r w:rsidR="000A2D5F">
        <w:rPr>
          <w:sz w:val="28"/>
          <w:szCs w:val="28"/>
        </w:rPr>
        <w:t>, в  час</w:t>
      </w:r>
      <w:r w:rsidR="000A2D5F">
        <w:rPr>
          <w:sz w:val="28"/>
          <w:szCs w:val="28"/>
        </w:rPr>
        <w:t>.</w:t>
      </w:r>
      <w:r w:rsidR="00A10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изъяты </w:t>
      </w:r>
      <w:r w:rsidR="000A2D5F">
        <w:rPr>
          <w:sz w:val="28"/>
          <w:szCs w:val="28"/>
        </w:rPr>
        <w:t>года</w:t>
      </w:r>
      <w:r w:rsidRPr="001E724A">
        <w:rPr>
          <w:sz w:val="28"/>
          <w:szCs w:val="28"/>
        </w:rPr>
        <w:t xml:space="preserve">, поэтому административное наказание в виде административного ареста следует исчислять с момента </w:t>
      </w:r>
      <w:r w:rsidR="00DD31AC">
        <w:rPr>
          <w:sz w:val="28"/>
          <w:szCs w:val="28"/>
        </w:rPr>
        <w:t>е</w:t>
      </w:r>
      <w:r w:rsidR="00A1014C">
        <w:rPr>
          <w:sz w:val="28"/>
          <w:szCs w:val="28"/>
        </w:rPr>
        <w:t>е доставления</w:t>
      </w:r>
      <w:r w:rsidRPr="001E724A">
        <w:rPr>
          <w:sz w:val="28"/>
          <w:szCs w:val="28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44">
        <w:rPr>
          <w:rFonts w:ascii="Times New Roman" w:hAnsi="Times New Roman" w:cs="Times New Roman"/>
          <w:sz w:val="28"/>
          <w:szCs w:val="28"/>
        </w:rPr>
        <w:t>по</w:t>
      </w:r>
      <w:r w:rsidRPr="00772644">
        <w:rPr>
          <w:rFonts w:ascii="Times New Roman" w:hAnsi="Times New Roman" w:cs="Times New Roman"/>
          <w:sz w:val="28"/>
          <w:szCs w:val="28"/>
        </w:rPr>
        <w:t>становил: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DB4832" w:rsidR="00DB4832">
        <w:rPr>
          <w:rFonts w:ascii="Times New Roman" w:hAnsi="Times New Roman" w:cs="Times New Roman"/>
          <w:sz w:val="28"/>
          <w:szCs w:val="28"/>
        </w:rPr>
        <w:t>Готлевск</w:t>
      </w:r>
      <w:r w:rsidR="00DB4832">
        <w:rPr>
          <w:rFonts w:ascii="Times New Roman" w:hAnsi="Times New Roman" w:cs="Times New Roman"/>
          <w:sz w:val="28"/>
          <w:szCs w:val="28"/>
        </w:rPr>
        <w:t>ую</w:t>
      </w:r>
      <w:r w:rsidRPr="00DB4832" w:rsidR="00DB4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</w:t>
      </w:r>
      <w:r w:rsidRPr="00DB4832" w:rsidR="00DB4832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0D1821">
        <w:rPr>
          <w:rFonts w:ascii="Times New Roman" w:hAnsi="Times New Roman" w:cs="Times New Roman"/>
          <w:sz w:val="28"/>
          <w:szCs w:val="28"/>
        </w:rPr>
        <w:t>ой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D182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</w:t>
      </w:r>
      <w:r w:rsidRPr="00124EE3" w:rsidR="00124EE3">
        <w:rPr>
          <w:rFonts w:ascii="Times New Roman" w:eastAsia="Batang" w:hAnsi="Times New Roman" w:cs="Times New Roman"/>
          <w:sz w:val="28"/>
          <w:szCs w:val="28"/>
        </w:rPr>
        <w:t>сроком 1 сутки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="00D85C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                            </w:t>
      </w:r>
      <w:r w:rsidR="00FA490E">
        <w:rPr>
          <w:b w:val="0"/>
          <w:sz w:val="28"/>
          <w:szCs w:val="28"/>
        </w:rPr>
        <w:t xml:space="preserve">                 </w:t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  <w:t xml:space="preserve"> </w:t>
      </w:r>
      <w:r w:rsidR="00FA490E">
        <w:rPr>
          <w:b w:val="0"/>
          <w:sz w:val="28"/>
          <w:szCs w:val="28"/>
        </w:rPr>
        <w:t xml:space="preserve">     Гайнутдинов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53220D"/>
    <w:rsid w:val="000256F6"/>
    <w:rsid w:val="00062CBA"/>
    <w:rsid w:val="00066A52"/>
    <w:rsid w:val="000877EC"/>
    <w:rsid w:val="000959FD"/>
    <w:rsid w:val="000A2D5F"/>
    <w:rsid w:val="000D1821"/>
    <w:rsid w:val="000D415A"/>
    <w:rsid w:val="00123B1D"/>
    <w:rsid w:val="00124EE3"/>
    <w:rsid w:val="00137194"/>
    <w:rsid w:val="00187C6D"/>
    <w:rsid w:val="0019247D"/>
    <w:rsid w:val="001956F7"/>
    <w:rsid w:val="001B73C5"/>
    <w:rsid w:val="001C0C5E"/>
    <w:rsid w:val="001C5553"/>
    <w:rsid w:val="001E29E2"/>
    <w:rsid w:val="001E724A"/>
    <w:rsid w:val="001F03FF"/>
    <w:rsid w:val="001F705B"/>
    <w:rsid w:val="002038DB"/>
    <w:rsid w:val="002047DB"/>
    <w:rsid w:val="002207F5"/>
    <w:rsid w:val="00224FA0"/>
    <w:rsid w:val="00263B07"/>
    <w:rsid w:val="002A45FC"/>
    <w:rsid w:val="002B6BEB"/>
    <w:rsid w:val="002D3A54"/>
    <w:rsid w:val="002E0438"/>
    <w:rsid w:val="002E187F"/>
    <w:rsid w:val="002E42E7"/>
    <w:rsid w:val="002F66A1"/>
    <w:rsid w:val="0033321F"/>
    <w:rsid w:val="003479A2"/>
    <w:rsid w:val="00350A91"/>
    <w:rsid w:val="00361961"/>
    <w:rsid w:val="003655D7"/>
    <w:rsid w:val="00365A42"/>
    <w:rsid w:val="00393331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3575F"/>
    <w:rsid w:val="00436FFF"/>
    <w:rsid w:val="004436F6"/>
    <w:rsid w:val="00457C95"/>
    <w:rsid w:val="0046593C"/>
    <w:rsid w:val="00467038"/>
    <w:rsid w:val="00481B45"/>
    <w:rsid w:val="0048556C"/>
    <w:rsid w:val="00490CC7"/>
    <w:rsid w:val="004A2419"/>
    <w:rsid w:val="004B7683"/>
    <w:rsid w:val="004D5F56"/>
    <w:rsid w:val="004D7864"/>
    <w:rsid w:val="004E3847"/>
    <w:rsid w:val="00515E92"/>
    <w:rsid w:val="005221F5"/>
    <w:rsid w:val="0053220D"/>
    <w:rsid w:val="0053323D"/>
    <w:rsid w:val="005333CB"/>
    <w:rsid w:val="005617B5"/>
    <w:rsid w:val="00563731"/>
    <w:rsid w:val="005835C7"/>
    <w:rsid w:val="005A0FF0"/>
    <w:rsid w:val="005A1E98"/>
    <w:rsid w:val="005B4E36"/>
    <w:rsid w:val="0060239F"/>
    <w:rsid w:val="00620E9A"/>
    <w:rsid w:val="0064061B"/>
    <w:rsid w:val="00646C6C"/>
    <w:rsid w:val="0065045E"/>
    <w:rsid w:val="0066481B"/>
    <w:rsid w:val="00684BBE"/>
    <w:rsid w:val="006873A9"/>
    <w:rsid w:val="006A2396"/>
    <w:rsid w:val="006A409E"/>
    <w:rsid w:val="006D631A"/>
    <w:rsid w:val="007006D5"/>
    <w:rsid w:val="00721D5A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14A3"/>
    <w:rsid w:val="007D31B8"/>
    <w:rsid w:val="007E6803"/>
    <w:rsid w:val="00803431"/>
    <w:rsid w:val="00812D6C"/>
    <w:rsid w:val="00837CDE"/>
    <w:rsid w:val="00861757"/>
    <w:rsid w:val="0089101E"/>
    <w:rsid w:val="00892971"/>
    <w:rsid w:val="008A122F"/>
    <w:rsid w:val="008B4B52"/>
    <w:rsid w:val="008C499C"/>
    <w:rsid w:val="008D0B31"/>
    <w:rsid w:val="008F22C4"/>
    <w:rsid w:val="00913C87"/>
    <w:rsid w:val="00937874"/>
    <w:rsid w:val="009473AB"/>
    <w:rsid w:val="00964304"/>
    <w:rsid w:val="00976D4C"/>
    <w:rsid w:val="009A5E1A"/>
    <w:rsid w:val="009A69EB"/>
    <w:rsid w:val="009B4C65"/>
    <w:rsid w:val="009C619A"/>
    <w:rsid w:val="009D3AF2"/>
    <w:rsid w:val="009D669E"/>
    <w:rsid w:val="009F0164"/>
    <w:rsid w:val="009F0EC4"/>
    <w:rsid w:val="009F235A"/>
    <w:rsid w:val="00A1014C"/>
    <w:rsid w:val="00A31CE5"/>
    <w:rsid w:val="00A37F04"/>
    <w:rsid w:val="00A541D5"/>
    <w:rsid w:val="00A6198F"/>
    <w:rsid w:val="00A63896"/>
    <w:rsid w:val="00A6728A"/>
    <w:rsid w:val="00A73774"/>
    <w:rsid w:val="00A75439"/>
    <w:rsid w:val="00A754E2"/>
    <w:rsid w:val="00A853A1"/>
    <w:rsid w:val="00A86739"/>
    <w:rsid w:val="00AB0B98"/>
    <w:rsid w:val="00AB74A2"/>
    <w:rsid w:val="00AC1C8E"/>
    <w:rsid w:val="00B00794"/>
    <w:rsid w:val="00B01BF5"/>
    <w:rsid w:val="00B22B9E"/>
    <w:rsid w:val="00B27265"/>
    <w:rsid w:val="00B46865"/>
    <w:rsid w:val="00B672EF"/>
    <w:rsid w:val="00B84321"/>
    <w:rsid w:val="00B87B00"/>
    <w:rsid w:val="00B927F0"/>
    <w:rsid w:val="00BB0C18"/>
    <w:rsid w:val="00BC78D6"/>
    <w:rsid w:val="00BD7263"/>
    <w:rsid w:val="00C036DC"/>
    <w:rsid w:val="00C24121"/>
    <w:rsid w:val="00C42F17"/>
    <w:rsid w:val="00C6304F"/>
    <w:rsid w:val="00C73022"/>
    <w:rsid w:val="00CA6070"/>
    <w:rsid w:val="00CB169E"/>
    <w:rsid w:val="00CC0FEF"/>
    <w:rsid w:val="00CF0D7C"/>
    <w:rsid w:val="00CF2217"/>
    <w:rsid w:val="00CF6DEC"/>
    <w:rsid w:val="00D01D23"/>
    <w:rsid w:val="00D0757C"/>
    <w:rsid w:val="00D14E6C"/>
    <w:rsid w:val="00D16160"/>
    <w:rsid w:val="00D23FD6"/>
    <w:rsid w:val="00D41B97"/>
    <w:rsid w:val="00D444FF"/>
    <w:rsid w:val="00D77CBE"/>
    <w:rsid w:val="00D85C0B"/>
    <w:rsid w:val="00DB4832"/>
    <w:rsid w:val="00DD31AC"/>
    <w:rsid w:val="00DD5CE3"/>
    <w:rsid w:val="00E04188"/>
    <w:rsid w:val="00E04FB4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B27CA"/>
    <w:rsid w:val="00EB2A22"/>
    <w:rsid w:val="00F235F9"/>
    <w:rsid w:val="00F25F5A"/>
    <w:rsid w:val="00F27035"/>
    <w:rsid w:val="00F42388"/>
    <w:rsid w:val="00F44A9B"/>
    <w:rsid w:val="00F473CA"/>
    <w:rsid w:val="00F568C2"/>
    <w:rsid w:val="00F7414C"/>
    <w:rsid w:val="00FA490E"/>
    <w:rsid w:val="00FA6337"/>
    <w:rsid w:val="00FA6E27"/>
    <w:rsid w:val="00FB74ED"/>
    <w:rsid w:val="00FC5B14"/>
    <w:rsid w:val="00FD1166"/>
    <w:rsid w:val="00FD1514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