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435998486grp-27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863221588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Style w:val="cat-OrganizationNamegrp-2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20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лиши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Style w:val="cat-OrganizationNamegrp-20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страницы АИС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OrganizationNamegrp-20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20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435998486grp-27rplc-32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863221588grp-2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8552</w:t>
      </w:r>
      <w:r>
        <w:rPr>
          <w:rFonts w:ascii="Times New Roman" w:eastAsia="Times New Roman" w:hAnsi="Times New Roman" w:cs="Times New Roman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UserDefined435998486grp-27rplc-8">
    <w:name w:val="cat-UserDefined435998486 grp-2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863221588grp-28rplc-11">
    <w:name w:val="cat-UserDefined863221588 grp-28 rplc-11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20rplc-30">
    <w:name w:val="cat-OrganizationName grp-20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UserDefined435998486grp-27rplc-32">
    <w:name w:val="cat-UserDefined435998486 grp-27 rplc-32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UserDefined863221588grp-28rplc-35">
    <w:name w:val="cat-UserDefined863221588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