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2355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Л.И. Кочергиной,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Владимира Петровича Фунтова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CarNumbergrp-25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пояснил, что он не употреблял алкоголь, употреблял только лекарственный препарат «корв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лол», из-за чего могло показать наличия спирта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сотрудник полиции заставил его несколько раз продувать в алкотектор, что создало накопительный эффект и показало результат, превышающий допустимые нормы. Ранее, до записи видео, сотрудник полиции предоставлял ему алкотектор, в который он продувал и результат был менее 0,160 мг/л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Также его права были нарушены тем, что ему не предложили проехать в медицинское учреждение для прохождения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01736500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249206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127086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распечаткой показаний прибора алкотектор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 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Приведенные доказательства в своей совокупности указывают на то, что В.П. Фунтов, управляя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в состоянии алкогольного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пункта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примечанию к статье 12.8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>а о том, что положительный результат освидетельствования на состояние алкогольного опьянения мог быть в результате употребления им лекарственного препарата «корв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лол», не может служить основанием для освобождения его от ответственности. Результат освидетельствования на состояние алкогольного опьянения зафиксирован в акте освидетельствования, с 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Оснований для признания этого документа ненадлежащим доказательством у мирового судьи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Приведенный довод не свидетельствует об отсутствии в его деянии состава административного правонарушения, поскольку в силу требований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Вместе с тем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инструкции лекарственного препарата «корвалол»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оказывает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влияние на способность к управлению транспортными средствами и механизмами.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Довод В.П. Фунтова о том, что сотрудник полиции заставил его несколько раз продувать в алкотектор, что создало накопительный эффект и показало результат, превышающий допустимые нормы не состоятелен. Как следует из просмотренной в судебном заседании видеозаписи, сделанной при проведении освидетельствования В.П. Фунтова на состояние алкогольного опьянения, В.П. Фунтов дул в алкотектор два раза, по причине недостаточного продува в первый раз.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Довод о том, что р</w:t>
      </w:r>
      <w:r>
        <w:rPr>
          <w:rFonts w:ascii="Times New Roman" w:eastAsia="Times New Roman" w:hAnsi="Times New Roman" w:cs="Times New Roman"/>
          <w:sz w:val="28"/>
          <w:szCs w:val="28"/>
        </w:rPr>
        <w:t>анее, до записи видео, сотрудник полиции предоставлял ему алкотектор, в который он продувал и результат был менее 0,16 мг/л</w:t>
      </w:r>
      <w:r>
        <w:rPr>
          <w:rFonts w:ascii="Times New Roman" w:eastAsia="Times New Roman" w:hAnsi="Times New Roman" w:cs="Times New Roman"/>
          <w:sz w:val="28"/>
          <w:szCs w:val="28"/>
        </w:rPr>
        <w:t>, но его не отпустили, не нашел своего подтверждения в ходе рассмотрения дела.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Допрошенный сотрудник полиции, И.И. Мухаметз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нов, пояснил, что до произведенной видеозаписи, он 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В.П. Фунтову алкотектор для продува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тестевом режиме, для того, что бы установить есть ли алкоголь в выдыхаемом воздухе, после чего он отстранил В.П. Фунтова от управления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В.П. Фунтовым указано,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его права были нарушены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ему не предложили проехать в медицинское учреждение для прохождения медицинского освидетельствования на состояние опьянения.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Приведенный довод не указывает на нарушение прав 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оснований для предложения ему проехать в медицинское учреждение для прохождения медицинского освидетельствования на состояние опьянения не было. Направление В.П. Фунтова на медицинское освидетельствование до прохождения освидетельствования на состояние опьянения либо без наличия несогласия с результатом освидетельствования на состояние алкогольного опьянения привело бы к нарушению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порядка направления на медицинское освидетельствование.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суд приходит к выводу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доказана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В.П. Фунтова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Владимира Петровича Фунтова, </w:t>
      </w:r>
      <w:r>
        <w:rPr>
          <w:rStyle w:val="cat-PassportDatagrp-22rplc-5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0151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070000565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В.П. Фунтов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Мировой судья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Тюлячинскому судебному району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CarNumbergrp-25rplc-18">
    <w:name w:val="cat-CarNumber grp-25 rplc-18"/>
    <w:basedOn w:val="DefaultParagraphFont"/>
  </w:style>
  <w:style w:type="character" w:customStyle="1" w:styleId="cat-PassportDatagrp-22rplc-51">
    <w:name w:val="cat-PassportData grp-2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