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041E" w:rsidRPr="0052037C" w:rsidP="00C8041E">
      <w:pPr>
        <w:pStyle w:val="Heading3"/>
        <w:jc w:val="right"/>
        <w:rPr>
          <w:sz w:val="28"/>
          <w:szCs w:val="28"/>
        </w:rPr>
      </w:pPr>
      <w:r>
        <w:rPr>
          <w:sz w:val="28"/>
          <w:szCs w:val="28"/>
        </w:rPr>
        <w:t>Дело № 5-229/2022</w:t>
      </w:r>
      <w:r w:rsidRPr="0052037C">
        <w:rPr>
          <w:sz w:val="28"/>
          <w:szCs w:val="28"/>
        </w:rPr>
        <w:t xml:space="preserve">  </w:t>
      </w:r>
    </w:p>
    <w:p w:rsidR="00C8041E" w:rsidRPr="00C303D1" w:rsidP="00C8041E">
      <w:pPr>
        <w:pStyle w:val="Heading3"/>
        <w:rPr>
          <w:sz w:val="28"/>
          <w:szCs w:val="28"/>
        </w:rPr>
      </w:pP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C8041E" w:rsidP="00C8041E">
      <w:pPr>
        <w:pStyle w:val="BodyText"/>
        <w:rPr>
          <w:szCs w:val="28"/>
        </w:rPr>
      </w:pPr>
      <w:r>
        <w:rPr>
          <w:szCs w:val="28"/>
        </w:rPr>
        <w:t>16 мая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>г. Тетюши</w:t>
      </w:r>
    </w:p>
    <w:p w:rsidR="00C8041E" w:rsidP="00C8041E">
      <w:pPr>
        <w:pStyle w:val="BodyText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</w:t>
      </w:r>
      <w:r w:rsidRPr="00C303D1">
        <w:rPr>
          <w:szCs w:val="28"/>
        </w:rPr>
        <w:t>, рассмотрев дело об администрати</w:t>
      </w:r>
      <w:r>
        <w:rPr>
          <w:szCs w:val="28"/>
        </w:rPr>
        <w:t>вном правонарушении в отношении:</w:t>
      </w:r>
    </w:p>
    <w:p w:rsidR="00C8041E" w:rsidP="00C8041E">
      <w:pPr>
        <w:jc w:val="both"/>
        <w:rPr>
          <w:szCs w:val="28"/>
        </w:rPr>
      </w:pP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C8041E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</w:t>
      </w:r>
    </w:p>
    <w:p w:rsidR="00C8041E" w:rsidRPr="00C303D1" w:rsidP="00C8041E">
      <w:pPr>
        <w:jc w:val="both"/>
        <w:rPr>
          <w:szCs w:val="28"/>
        </w:rPr>
      </w:pPr>
      <w:r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C8041E">
        <w:rPr>
          <w:szCs w:val="28"/>
        </w:rPr>
        <w:t>&lt;данные изъяты&gt;</w:t>
      </w:r>
      <w:r>
        <w:rPr>
          <w:szCs w:val="28"/>
        </w:rPr>
        <w:t>,</w:t>
      </w:r>
    </w:p>
    <w:p w:rsidR="00C8041E" w:rsidP="00C8041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C8041E" w:rsidRPr="00C303D1" w:rsidP="00C8041E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Оганесян Э.В.</w:t>
      </w:r>
      <w:r w:rsidRPr="00C303D1">
        <w:rPr>
          <w:szCs w:val="28"/>
        </w:rPr>
        <w:t xml:space="preserve"> 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заплатил штраф по  постановлению по делу об административном правонарушении от 13 декабря 2021 года, вступившему в законную силу 31 декабря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</w:t>
      </w:r>
      <w:r>
        <w:rPr>
          <w:szCs w:val="28"/>
        </w:rPr>
        <w:t>ативного наказания в штрафа в размере 500</w:t>
      </w:r>
      <w:r w:rsidRPr="00C303D1">
        <w:rPr>
          <w:szCs w:val="28"/>
        </w:rPr>
        <w:t xml:space="preserve"> рублей, тем самым совершил</w:t>
      </w:r>
      <w:r w:rsidRPr="00C303D1">
        <w:rPr>
          <w:szCs w:val="28"/>
        </w:rPr>
        <w:t xml:space="preserve">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C8041E" w:rsidP="00C8041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Оганесян Э.В. в суд не явился, о времени и месте рассмотрения извещен надлежащим образом. Суд считает возможным рассмотреть дело в отсутствие лица, в отношении которого ведется производство делу.</w:t>
      </w:r>
    </w:p>
    <w:p w:rsidR="00C8041E" w:rsidRPr="00C303D1" w:rsidP="00C8041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суд приходит к следующему выводу.</w:t>
      </w:r>
      <w:r w:rsidRPr="00C303D1">
        <w:rPr>
          <w:szCs w:val="28"/>
        </w:rPr>
        <w:t xml:space="preserve"> </w:t>
      </w:r>
    </w:p>
    <w:p w:rsidR="00C8041E" w:rsidRPr="00C303D1" w:rsidP="00C8041E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C8041E" w:rsidP="00C8041E">
      <w:pPr>
        <w:jc w:val="both"/>
        <w:rPr>
          <w:szCs w:val="28"/>
        </w:rPr>
      </w:pPr>
      <w:r>
        <w:rPr>
          <w:szCs w:val="28"/>
        </w:rPr>
        <w:t xml:space="preserve">       Вина Оганесяна Э.В.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 от</w:t>
      </w:r>
      <w:r>
        <w:rPr>
          <w:szCs w:val="28"/>
        </w:rPr>
        <w:t xml:space="preserve"> </w:t>
      </w:r>
      <w:r w:rsidRPr="00C303D1">
        <w:rPr>
          <w:szCs w:val="28"/>
        </w:rPr>
        <w:t xml:space="preserve"> </w:t>
      </w:r>
      <w:r>
        <w:rPr>
          <w:szCs w:val="28"/>
        </w:rPr>
        <w:t xml:space="preserve">27 апреля 2022 года, постановлением от 13 декабря 2021 года о наложении административного взыскания в виде штрафа на сумму 500 рублей 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режиме.</w:t>
      </w:r>
    </w:p>
    <w:p w:rsidR="00C8041E" w:rsidP="00C8041E">
      <w:pPr>
        <w:jc w:val="both"/>
        <w:rPr>
          <w:szCs w:val="28"/>
        </w:rPr>
      </w:pPr>
      <w:r>
        <w:rPr>
          <w:szCs w:val="28"/>
        </w:rPr>
        <w:t xml:space="preserve">       Отсрочка либо рассрочка </w:t>
      </w:r>
      <w:r w:rsidRPr="00C303D1">
        <w:rPr>
          <w:szCs w:val="28"/>
        </w:rPr>
        <w:t xml:space="preserve"> 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Оганесяну Э.В.</w:t>
      </w:r>
      <w:r w:rsidRPr="00C303D1">
        <w:rPr>
          <w:szCs w:val="28"/>
        </w:rPr>
        <w:t xml:space="preserve"> не предоставлялись.</w:t>
      </w:r>
    </w:p>
    <w:p w:rsidR="00C8041E" w:rsidP="00C8041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Оганесяна Э.В.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C8041E" w:rsidP="00C8041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C8041E" w:rsidP="00C8041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C8041E" w:rsidRPr="00554A82" w:rsidP="00C8041E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/>
          <w:sz w:val="28"/>
          <w:szCs w:val="28"/>
        </w:rPr>
        <w:t xml:space="preserve"> положения пункта 3 примечания к статье 20.25 Кодекса РФ об административных правонарушениях, принимая во внимание</w:t>
      </w:r>
      <w:r w:rsidRPr="00554A82">
        <w:rPr>
          <w:rFonts w:ascii="Times New Roman" w:hAnsi="Times New Roman"/>
          <w:sz w:val="28"/>
          <w:szCs w:val="28"/>
        </w:rPr>
        <w:t xml:space="preserve"> 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 правонарушения, Оганесяну Э.В.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</w:t>
      </w:r>
      <w:r w:rsidRPr="00554A82">
        <w:rPr>
          <w:rFonts w:ascii="Times New Roman" w:hAnsi="Times New Roman"/>
          <w:sz w:val="28"/>
          <w:szCs w:val="28"/>
        </w:rPr>
        <w:t>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C8041E" w:rsidP="00C8041E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C8041E" w:rsidRPr="00C303D1" w:rsidP="00C8041E">
      <w:pPr>
        <w:pStyle w:val="BodyText"/>
        <w:rPr>
          <w:szCs w:val="28"/>
        </w:rPr>
      </w:pPr>
    </w:p>
    <w:p w:rsidR="00C8041E" w:rsidRPr="00C303D1" w:rsidP="00C8041E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C8041E" w:rsidRPr="00C303D1" w:rsidP="00C8041E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4F6DF6">
        <w:rPr>
          <w:szCs w:val="28"/>
        </w:rPr>
        <w:t xml:space="preserve"> </w:t>
      </w:r>
      <w:r>
        <w:rPr>
          <w:szCs w:val="28"/>
        </w:rPr>
        <w:t>Оганесяна Э</w:t>
      </w:r>
      <w:r>
        <w:rPr>
          <w:szCs w:val="28"/>
        </w:rPr>
        <w:t>.</w:t>
      </w:r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C8041E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C8041E" w:rsidP="00C8041E">
      <w:pPr>
        <w:jc w:val="both"/>
      </w:pPr>
      <w:r>
        <w:t>признать виновным в совершении правонарушения, предусмотренного частью 1 статьи 20.25 Кодекса РФ об административных правонарушениях, и  назначить ему административное наказание в виде штрафа в размере 1000 (одна тысяча) рублей</w:t>
      </w:r>
      <w:r w:rsidRPr="00C303D1">
        <w:t>.</w:t>
      </w:r>
      <w:r>
        <w:t xml:space="preserve">      </w:t>
      </w:r>
    </w:p>
    <w:p w:rsidR="00C8041E" w:rsidP="00C8041E">
      <w:pPr>
        <w:jc w:val="both"/>
        <w:rPr>
          <w:szCs w:val="28"/>
        </w:rPr>
      </w:pPr>
      <w:r>
        <w:rPr>
          <w:szCs w:val="28"/>
        </w:rPr>
        <w:t>В соответствии с требованиями статьи </w:t>
      </w:r>
      <w:r w:rsidRPr="009B5425">
        <w:rPr>
          <w:szCs w:val="28"/>
        </w:rPr>
        <w:t>32.2</w:t>
      </w:r>
      <w:r>
        <w:rPr>
          <w:szCs w:val="28"/>
        </w:rPr>
        <w:t> Кодекса </w:t>
      </w:r>
      <w:r w:rsidRPr="009B5425">
        <w:rPr>
          <w:szCs w:val="28"/>
        </w:rPr>
        <w:t>РФ</w:t>
      </w:r>
      <w:r>
        <w:rPr>
          <w:szCs w:val="28"/>
        </w:rPr>
        <w:t xml:space="preserve"> об административных правонарушениях</w:t>
      </w:r>
      <w:r w:rsidRPr="009B5425">
        <w:rPr>
          <w:szCs w:val="28"/>
        </w:rPr>
        <w:t>, штраф д</w:t>
      </w:r>
      <w:r>
        <w:rPr>
          <w:szCs w:val="28"/>
        </w:rPr>
        <w:t>олжен быть уплачен не позднее шестидесяти</w:t>
      </w:r>
      <w:r w:rsidRPr="009B5425">
        <w:rPr>
          <w:szCs w:val="28"/>
        </w:rPr>
        <w:t xml:space="preserve"> дней со дня вступления данного постановления в законную силу либо со дня истечения срока отсрочки или срока рассрочки</w:t>
      </w:r>
      <w:r>
        <w:rPr>
          <w:szCs w:val="28"/>
        </w:rPr>
        <w:t xml:space="preserve"> уплаты штрафа</w:t>
      </w:r>
      <w:r w:rsidRPr="009B5425">
        <w:rPr>
          <w:szCs w:val="28"/>
        </w:rPr>
        <w:t xml:space="preserve">, о предоставлении которых </w:t>
      </w:r>
      <w:r>
        <w:rPr>
          <w:szCs w:val="28"/>
        </w:rPr>
        <w:t>лицо, привлеченное к ответственности, вправе</w:t>
      </w:r>
      <w:r w:rsidRPr="009B5425">
        <w:rPr>
          <w:szCs w:val="28"/>
        </w:rPr>
        <w:t xml:space="preserve"> обратиться к мировому судье, вынесшему постановление о наложении административного наказания в виде штрафа.</w:t>
      </w:r>
      <w:r>
        <w:rPr>
          <w:szCs w:val="28"/>
        </w:rPr>
        <w:t xml:space="preserve"> Лицо, не уплатившее штраф в установленный законом срок, может быть привлечено к административной ответственности по части 1 статьи 20.25 Кодекса РФ об административных правонарушениях.</w:t>
      </w:r>
    </w:p>
    <w:p w:rsidR="00C8041E" w:rsidP="00C8041E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C8041E" w:rsidP="00C8041E">
      <w:pPr>
        <w:jc w:val="both"/>
      </w:pPr>
    </w:p>
    <w:p w:rsidR="00C8041E" w:rsidP="00C8041E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C8041E" w:rsidP="00C8041E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C8041E" w:rsidP="00C8041E">
      <w:pPr>
        <w:tabs>
          <w:tab w:val="left" w:pos="3680"/>
        </w:tabs>
        <w:jc w:val="both"/>
      </w:pPr>
      <w:r>
        <w:t xml:space="preserve">Республики Татарстан:                                                    </w:t>
      </w:r>
      <w:r>
        <w:t>Зиатдинова</w:t>
      </w:r>
      <w:r>
        <w:t xml:space="preserve"> А.А.</w:t>
      </w:r>
    </w:p>
    <w:p w:rsidR="00C8041E" w:rsidP="00C8041E">
      <w:pPr>
        <w:rPr>
          <w:szCs w:val="28"/>
        </w:rPr>
      </w:pPr>
    </w:p>
    <w:p w:rsidR="00C8041E" w:rsidRPr="00881E53" w:rsidP="00C8041E">
      <w:pPr>
        <w:rPr>
          <w:sz w:val="24"/>
          <w:szCs w:val="24"/>
        </w:rPr>
      </w:pPr>
      <w:r w:rsidRPr="00881E53">
        <w:rPr>
          <w:sz w:val="24"/>
          <w:szCs w:val="24"/>
        </w:rPr>
        <w:t>Реквизиты для оплаты штрафа: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ИНН 1654003139</w:t>
            </w:r>
          </w:p>
        </w:tc>
        <w:tc>
          <w:tcPr>
            <w:tcW w:w="2552" w:type="dxa"/>
          </w:tcPr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БИК </w:t>
            </w:r>
          </w:p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  <w:vMerge w:val="restart"/>
          </w:tcPr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019205400</w:t>
            </w:r>
          </w:p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40102810445370000079</w:t>
            </w: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Получатель</w:t>
            </w:r>
          </w:p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УФК по Республике Татарстан (Министерство юстиции Республики Татарстан, </w:t>
            </w:r>
            <w:r w:rsidRPr="00252C37">
              <w:rPr>
                <w:sz w:val="24"/>
                <w:szCs w:val="24"/>
              </w:rPr>
              <w:t>л</w:t>
            </w:r>
            <w:r w:rsidRPr="00252C37">
              <w:rPr>
                <w:sz w:val="24"/>
                <w:szCs w:val="24"/>
              </w:rPr>
              <w:t>/с 04112001300)</w:t>
            </w:r>
          </w:p>
        </w:tc>
        <w:tc>
          <w:tcPr>
            <w:tcW w:w="1134" w:type="dxa"/>
            <w:vMerge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</w:p>
        </w:tc>
      </w:tr>
      <w:tr w:rsidTr="00CA4F56">
        <w:tblPrEx>
          <w:tblW w:w="10206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Банк получателя</w:t>
            </w:r>
          </w:p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 xml:space="preserve">ОТДЕЛЕНИЕ-НБ РЕСПУБЛИКА ТАТАРСТАН Банка России/ УФК по Республике Татарстан </w:t>
            </w:r>
            <w:r w:rsidRPr="00252C37">
              <w:rPr>
                <w:sz w:val="24"/>
                <w:szCs w:val="24"/>
              </w:rPr>
              <w:t>г</w:t>
            </w:r>
            <w:r w:rsidRPr="00252C37">
              <w:rPr>
                <w:sz w:val="24"/>
                <w:szCs w:val="24"/>
              </w:rPr>
              <w:t>.К</w:t>
            </w:r>
            <w:r w:rsidRPr="00252C37">
              <w:rPr>
                <w:sz w:val="24"/>
                <w:szCs w:val="24"/>
              </w:rPr>
              <w:t>азань</w:t>
            </w:r>
          </w:p>
        </w:tc>
        <w:tc>
          <w:tcPr>
            <w:tcW w:w="1134" w:type="dxa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Сч</w:t>
            </w:r>
            <w:r w:rsidRPr="00252C37">
              <w:rPr>
                <w:sz w:val="24"/>
                <w:szCs w:val="24"/>
              </w:rPr>
              <w:t>.№</w:t>
            </w:r>
          </w:p>
        </w:tc>
        <w:tc>
          <w:tcPr>
            <w:tcW w:w="3543" w:type="dxa"/>
          </w:tcPr>
          <w:p w:rsidR="00C8041E" w:rsidRPr="00252C37" w:rsidP="00CA4F56">
            <w:pPr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03100643000000011100</w:t>
            </w:r>
          </w:p>
        </w:tc>
      </w:tr>
    </w:tbl>
    <w:p w:rsidR="00C8041E" w:rsidRPr="00252C37" w:rsidP="00C8041E">
      <w:pPr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C8041E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  <w:r w:rsidRPr="00252C37">
              <w:rPr>
                <w:i/>
                <w:sz w:val="24"/>
                <w:szCs w:val="24"/>
              </w:rPr>
              <w:t>КБК</w:t>
            </w:r>
          </w:p>
          <w:p w:rsidR="00C8041E" w:rsidRPr="00252C37" w:rsidP="00CA4F56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1 16 01203 01 9000 140</w:t>
            </w:r>
          </w:p>
          <w:p w:rsidR="00C8041E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  <w:p w:rsidR="00C8041E" w:rsidRPr="00252C37" w:rsidP="00CA4F56">
            <w:pPr>
              <w:tabs>
                <w:tab w:val="left" w:pos="720"/>
              </w:tabs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92701000</w:t>
            </w:r>
          </w:p>
        </w:tc>
        <w:tc>
          <w:tcPr>
            <w:tcW w:w="709" w:type="dxa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8041E" w:rsidRPr="00252C37" w:rsidP="00CA4F56">
            <w:pPr>
              <w:jc w:val="center"/>
              <w:rPr>
                <w:sz w:val="24"/>
                <w:szCs w:val="24"/>
              </w:rPr>
            </w:pPr>
            <w:r w:rsidRPr="00252C37">
              <w:rPr>
                <w:sz w:val="24"/>
                <w:szCs w:val="24"/>
              </w:rPr>
              <w:t>0</w:t>
            </w:r>
          </w:p>
        </w:tc>
      </w:tr>
    </w:tbl>
    <w:p w:rsidR="00C8041E" w:rsidRPr="00252C37" w:rsidP="00C8041E">
      <w:pPr>
        <w:jc w:val="both"/>
        <w:rPr>
          <w:sz w:val="24"/>
          <w:szCs w:val="24"/>
        </w:rPr>
      </w:pPr>
    </w:p>
    <w:p w:rsidR="00C8041E" w:rsidRPr="00252C37" w:rsidP="00C8041E">
      <w:pPr>
        <w:rPr>
          <w:sz w:val="24"/>
          <w:szCs w:val="24"/>
        </w:rPr>
      </w:pPr>
      <w:r w:rsidRPr="00252C37">
        <w:rPr>
          <w:sz w:val="24"/>
          <w:szCs w:val="24"/>
        </w:rPr>
        <w:t>УИН 03186909000000000</w:t>
      </w:r>
    </w:p>
    <w:p w:rsidR="00C944D0"/>
    <w:sectPr w:rsidSect="00C8041E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59"/>
    <w:rsid w:val="00252C37"/>
    <w:rsid w:val="004F6DF6"/>
    <w:rsid w:val="0052037C"/>
    <w:rsid w:val="00554A82"/>
    <w:rsid w:val="00663859"/>
    <w:rsid w:val="00881E53"/>
    <w:rsid w:val="009B5425"/>
    <w:rsid w:val="00C303D1"/>
    <w:rsid w:val="00C8041E"/>
    <w:rsid w:val="00C944D0"/>
    <w:rsid w:val="00CA4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C8041E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8041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C8041E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C80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8041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