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A70E33">
        <w:rPr>
          <w:sz w:val="28"/>
          <w:szCs w:val="28"/>
        </w:rPr>
        <w:t>7</w:t>
      </w:r>
      <w:r w:rsidR="003A7FA2">
        <w:rPr>
          <w:sz w:val="28"/>
          <w:szCs w:val="28"/>
        </w:rPr>
        <w:t>92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A70E33">
        <w:rPr>
          <w:sz w:val="28"/>
        </w:rPr>
        <w:t>2</w:t>
      </w:r>
      <w:r w:rsidR="003A7FA2">
        <w:rPr>
          <w:sz w:val="28"/>
        </w:rPr>
        <w:t>434</w:t>
      </w:r>
      <w:r w:rsidR="00126355">
        <w:rPr>
          <w:sz w:val="28"/>
        </w:rPr>
        <w:t>-</w:t>
      </w:r>
      <w:r w:rsidR="003A7FA2">
        <w:rPr>
          <w:sz w:val="28"/>
        </w:rPr>
        <w:t>1</w:t>
      </w:r>
      <w:r w:rsidR="00A70E33">
        <w:rPr>
          <w:sz w:val="28"/>
        </w:rPr>
        <w:t>2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3A7FA2">
        <w:rPr>
          <w:sz w:val="28"/>
          <w:szCs w:val="28"/>
        </w:rPr>
        <w:t>1</w:t>
      </w:r>
      <w:r w:rsidR="00A70E33">
        <w:rPr>
          <w:sz w:val="28"/>
          <w:szCs w:val="28"/>
        </w:rPr>
        <w:t xml:space="preserve">1 </w:t>
      </w:r>
      <w:r w:rsidR="003A7FA2">
        <w:rPr>
          <w:sz w:val="28"/>
          <w:szCs w:val="28"/>
        </w:rPr>
        <w:t>августа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E573FB">
        <w:rPr>
          <w:sz w:val="28"/>
          <w:szCs w:val="28"/>
        </w:rPr>
        <w:t>Вагапова А.</w:t>
      </w:r>
      <w:r w:rsidR="009B4C5A">
        <w:rPr>
          <w:sz w:val="28"/>
          <w:szCs w:val="28"/>
        </w:rPr>
        <w:t xml:space="preserve"> </w:t>
      </w:r>
      <w:r w:rsidR="003A7FA2">
        <w:rPr>
          <w:sz w:val="28"/>
          <w:szCs w:val="28"/>
        </w:rPr>
        <w:t>Д</w:t>
      </w:r>
      <w:r w:rsidR="00E573FB">
        <w:rPr>
          <w:sz w:val="28"/>
          <w:szCs w:val="28"/>
        </w:rPr>
        <w:t>.</w:t>
      </w:r>
      <w:r w:rsidR="00A70E33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E573FB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A70E33">
        <w:rPr>
          <w:sz w:val="28"/>
          <w:szCs w:val="28"/>
        </w:rPr>
        <w:t xml:space="preserve"> </w:t>
      </w:r>
      <w:r w:rsidR="00E573FB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с</w:t>
      </w:r>
      <w:r w:rsidR="00E573FB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3A7FA2">
        <w:rPr>
          <w:sz w:val="28"/>
          <w:szCs w:val="28"/>
        </w:rPr>
        <w:t>10</w:t>
      </w:r>
      <w:r w:rsidR="00A70E33">
        <w:rPr>
          <w:sz w:val="28"/>
          <w:szCs w:val="28"/>
        </w:rPr>
        <w:t xml:space="preserve"> апреля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A70E33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</w:t>
      </w:r>
      <w:r w:rsidR="003A7FA2">
        <w:rPr>
          <w:sz w:val="28"/>
          <w:szCs w:val="28"/>
        </w:rPr>
        <w:t>инспектора ДПС ОГИБДД</w:t>
      </w:r>
      <w:r w:rsidR="00A70E33">
        <w:rPr>
          <w:sz w:val="28"/>
          <w:szCs w:val="28"/>
        </w:rPr>
        <w:t xml:space="preserve"> отдела </w:t>
      </w:r>
      <w:r w:rsidR="008A4D27">
        <w:rPr>
          <w:sz w:val="28"/>
          <w:szCs w:val="28"/>
        </w:rPr>
        <w:t>МВД России по</w:t>
      </w:r>
      <w:r w:rsidR="00A70E33">
        <w:rPr>
          <w:sz w:val="28"/>
          <w:szCs w:val="28"/>
        </w:rPr>
        <w:t xml:space="preserve"> А</w:t>
      </w:r>
      <w:r w:rsidR="003A7FA2">
        <w:rPr>
          <w:sz w:val="28"/>
          <w:szCs w:val="28"/>
        </w:rPr>
        <w:t>лькеевскому</w:t>
      </w:r>
      <w:r w:rsidR="00A70E33">
        <w:rPr>
          <w:sz w:val="28"/>
          <w:szCs w:val="28"/>
        </w:rPr>
        <w:t xml:space="preserve"> району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№1</w:t>
      </w:r>
      <w:r w:rsidR="003A7FA2">
        <w:rPr>
          <w:sz w:val="28"/>
          <w:szCs w:val="28"/>
        </w:rPr>
        <w:t>881</w:t>
      </w:r>
      <w:r w:rsidR="00A70E33">
        <w:rPr>
          <w:sz w:val="28"/>
          <w:szCs w:val="28"/>
        </w:rPr>
        <w:t>00</w:t>
      </w:r>
      <w:r w:rsidR="003A7FA2">
        <w:rPr>
          <w:sz w:val="28"/>
          <w:szCs w:val="28"/>
        </w:rPr>
        <w:t>16170005337758</w:t>
      </w:r>
      <w:r w:rsidR="00312C7C">
        <w:rPr>
          <w:sz w:val="28"/>
          <w:szCs w:val="28"/>
        </w:rPr>
        <w:t xml:space="preserve">, вступившим в законную силу </w:t>
      </w:r>
      <w:r w:rsidR="003A7FA2">
        <w:rPr>
          <w:sz w:val="28"/>
          <w:szCs w:val="28"/>
        </w:rPr>
        <w:t>21</w:t>
      </w:r>
      <w:r w:rsidR="008A4D27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апреля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A70E33">
        <w:rPr>
          <w:sz w:val="28"/>
          <w:szCs w:val="28"/>
        </w:rPr>
        <w:t>2</w:t>
      </w:r>
      <w:r w:rsidR="00312C7C">
        <w:rPr>
          <w:sz w:val="28"/>
          <w:szCs w:val="28"/>
        </w:rPr>
        <w:t xml:space="preserve"> года, </w:t>
      </w:r>
      <w:r w:rsidR="003A7FA2">
        <w:rPr>
          <w:sz w:val="28"/>
          <w:szCs w:val="28"/>
        </w:rPr>
        <w:t>Вагапову А.Д.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3A7FA2">
        <w:rPr>
          <w:sz w:val="28"/>
          <w:szCs w:val="28"/>
        </w:rPr>
        <w:t>10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="003A7FA2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3A7FA2">
        <w:rPr>
          <w:sz w:val="28"/>
          <w:szCs w:val="28"/>
        </w:rPr>
        <w:t>6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3A7FA2">
        <w:rPr>
          <w:sz w:val="28"/>
          <w:szCs w:val="28"/>
        </w:rPr>
        <w:t>ВАгапова А.Д.</w:t>
      </w:r>
      <w:r w:rsidR="00A70E33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3A7FA2">
        <w:rPr>
          <w:sz w:val="28"/>
          <w:szCs w:val="28"/>
        </w:rPr>
        <w:t>10</w:t>
      </w:r>
      <w:r w:rsidR="00A70E33">
        <w:rPr>
          <w:sz w:val="28"/>
          <w:szCs w:val="28"/>
        </w:rPr>
        <w:t xml:space="preserve"> апреля</w:t>
      </w:r>
      <w:r w:rsidR="002436A0">
        <w:rPr>
          <w:sz w:val="28"/>
          <w:szCs w:val="28"/>
        </w:rPr>
        <w:t xml:space="preserve"> 202</w:t>
      </w:r>
      <w:r w:rsidR="00A70E33">
        <w:rPr>
          <w:sz w:val="28"/>
          <w:szCs w:val="28"/>
        </w:rPr>
        <w:t>2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3A7FA2">
        <w:rPr>
          <w:sz w:val="28"/>
          <w:szCs w:val="28"/>
        </w:rPr>
        <w:t>10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3A7FA2">
        <w:rPr>
          <w:sz w:val="28"/>
          <w:szCs w:val="28"/>
        </w:rPr>
        <w:t>Вагапов А.Д.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3A7FA2">
        <w:rPr>
          <w:sz w:val="28"/>
          <w:szCs w:val="28"/>
        </w:rPr>
        <w:t>Вагапова А.Д.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  <w:r w:rsidR="00A70E33">
        <w:rPr>
          <w:sz w:val="28"/>
          <w:szCs w:val="28"/>
        </w:rPr>
        <w:t>.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Полагаю,  вина </w:t>
      </w:r>
      <w:r>
        <w:rPr>
          <w:sz w:val="28"/>
          <w:szCs w:val="28"/>
        </w:rPr>
        <w:t xml:space="preserve"> </w:t>
      </w:r>
      <w:r w:rsidR="009B4C5A">
        <w:rPr>
          <w:sz w:val="28"/>
          <w:szCs w:val="28"/>
        </w:rPr>
        <w:t>Вагапова А.Д.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70E33" w:rsidRPr="009A0C35" w:rsidP="00A70E33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 w:rsidR="009B4C5A">
        <w:rPr>
          <w:sz w:val="28"/>
          <w:szCs w:val="28"/>
        </w:rPr>
        <w:t>Вагапов А.Д.</w:t>
      </w:r>
      <w:r>
        <w:rPr>
          <w:sz w:val="28"/>
          <w:szCs w:val="28"/>
        </w:rPr>
        <w:t xml:space="preserve"> при составлении протокола об административном правонарушении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 в связи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Вагапова А</w:t>
      </w:r>
      <w:r w:rsidR="00E573F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E573FB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9B4C5A">
        <w:rPr>
          <w:sz w:val="28"/>
          <w:szCs w:val="28"/>
        </w:rPr>
        <w:t>Вагапову А.Д.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9B4C5A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C82DC5">
              <w:t>9</w:t>
            </w:r>
            <w:r w:rsidR="009B4C5A">
              <w:t>133898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compat/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7A87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A7FA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E71C5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B4C5A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0E33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E7BE4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648F8"/>
    <w:rsid w:val="00C82DC5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573FB"/>
    <w:rsid w:val="00E714BD"/>
    <w:rsid w:val="00E73838"/>
    <w:rsid w:val="00E86286"/>
    <w:rsid w:val="00E94B24"/>
    <w:rsid w:val="00E97F11"/>
    <w:rsid w:val="00EA5718"/>
    <w:rsid w:val="00EA76AA"/>
    <w:rsid w:val="00EB0ACF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74A8-7CB2-4464-A372-313358B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