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D169A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4C9">
        <w:rPr>
          <w:sz w:val="28"/>
          <w:szCs w:val="28"/>
        </w:rPr>
        <w:tab/>
        <w:t xml:space="preserve">     </w:t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B01A90">
        <w:rPr>
          <w:sz w:val="28"/>
          <w:szCs w:val="28"/>
        </w:rPr>
        <w:t>621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</w:t>
      </w:r>
      <w:r w:rsidR="00B01A90">
        <w:rPr>
          <w:sz w:val="28"/>
        </w:rPr>
        <w:t>755</w:t>
      </w:r>
      <w:r>
        <w:rPr>
          <w:sz w:val="28"/>
        </w:rPr>
        <w:t>-</w:t>
      </w:r>
      <w:r w:rsidR="00B01A90">
        <w:rPr>
          <w:sz w:val="28"/>
        </w:rPr>
        <w:t>12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B01A90">
        <w:rPr>
          <w:sz w:val="28"/>
          <w:szCs w:val="28"/>
        </w:rPr>
        <w:t>26 мая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1A90">
        <w:rPr>
          <w:sz w:val="28"/>
          <w:szCs w:val="28"/>
        </w:rPr>
        <w:t>Трапезниковой И</w:t>
      </w:r>
      <w:r w:rsidR="002D2092">
        <w:rPr>
          <w:sz w:val="28"/>
          <w:szCs w:val="28"/>
        </w:rPr>
        <w:t>.</w:t>
      </w:r>
      <w:r w:rsidR="00B01A90">
        <w:rPr>
          <w:sz w:val="28"/>
          <w:szCs w:val="28"/>
        </w:rPr>
        <w:t>Г</w:t>
      </w:r>
      <w:r w:rsidR="002D2092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2D2092">
        <w:rPr>
          <w:sz w:val="28"/>
          <w:szCs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B01A90">
        <w:rPr>
          <w:sz w:val="28"/>
          <w:szCs w:val="28"/>
        </w:rPr>
        <w:t>ки</w:t>
      </w:r>
      <w:r w:rsidR="008D7502">
        <w:rPr>
          <w:sz w:val="28"/>
          <w:szCs w:val="28"/>
        </w:rPr>
        <w:t xml:space="preserve"> </w:t>
      </w:r>
      <w:r w:rsidR="002D2092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B01A90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2D2092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B01A90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B01A90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B01A90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B01A90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2D2092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142246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1A90">
        <w:rPr>
          <w:sz w:val="28"/>
          <w:szCs w:val="28"/>
        </w:rPr>
        <w:t>25 мая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B01A90">
        <w:rPr>
          <w:sz w:val="28"/>
          <w:szCs w:val="28"/>
        </w:rPr>
        <w:t>0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B01A90">
        <w:rPr>
          <w:sz w:val="28"/>
          <w:szCs w:val="28"/>
        </w:rPr>
        <w:t>47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B01A90">
        <w:rPr>
          <w:sz w:val="28"/>
          <w:szCs w:val="28"/>
        </w:rPr>
        <w:t>Трапезникова И.Г.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B01A90">
        <w:rPr>
          <w:sz w:val="28"/>
          <w:szCs w:val="28"/>
        </w:rPr>
        <w:t>а</w:t>
      </w:r>
      <w:r w:rsidR="0008430C">
        <w:rPr>
          <w:sz w:val="28"/>
          <w:szCs w:val="28"/>
        </w:rPr>
        <w:t xml:space="preserve"> из прилавка магазина </w:t>
      </w:r>
      <w:r w:rsidR="002D2092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2D2092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B01A90">
        <w:rPr>
          <w:sz w:val="28"/>
          <w:szCs w:val="28"/>
        </w:rPr>
        <w:t>одну</w:t>
      </w:r>
      <w:r w:rsidR="0008430C">
        <w:rPr>
          <w:sz w:val="28"/>
          <w:szCs w:val="28"/>
        </w:rPr>
        <w:t xml:space="preserve"> бутылк</w:t>
      </w:r>
      <w:r w:rsidR="00B01A90">
        <w:rPr>
          <w:sz w:val="28"/>
          <w:szCs w:val="28"/>
        </w:rPr>
        <w:t>у</w:t>
      </w:r>
      <w:r w:rsidR="0008430C">
        <w:rPr>
          <w:sz w:val="28"/>
          <w:szCs w:val="28"/>
        </w:rPr>
        <w:t xml:space="preserve"> </w:t>
      </w:r>
      <w:r w:rsidR="00B01A90">
        <w:rPr>
          <w:sz w:val="28"/>
          <w:szCs w:val="28"/>
        </w:rPr>
        <w:t>водки</w:t>
      </w:r>
      <w:r w:rsidR="0008430C">
        <w:rPr>
          <w:sz w:val="28"/>
          <w:szCs w:val="28"/>
        </w:rPr>
        <w:t xml:space="preserve"> </w:t>
      </w:r>
      <w:r w:rsidR="002D2092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ОО</w:t>
      </w:r>
      <w:r w:rsidR="0008430C">
        <w:rPr>
          <w:sz w:val="28"/>
          <w:szCs w:val="28"/>
        </w:rPr>
        <w:t xml:space="preserve">О </w:t>
      </w:r>
      <w:r w:rsidR="002D2092">
        <w:rPr>
          <w:sz w:val="28"/>
          <w:szCs w:val="28"/>
        </w:rPr>
        <w:t>«данные изъяты»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B01A90">
        <w:rPr>
          <w:sz w:val="28"/>
          <w:szCs w:val="28"/>
        </w:rPr>
        <w:t>209</w:t>
      </w:r>
      <w:r w:rsidR="00142246">
        <w:rPr>
          <w:sz w:val="28"/>
          <w:szCs w:val="28"/>
        </w:rPr>
        <w:t>,9</w:t>
      </w:r>
      <w:r w:rsidR="00B01A90">
        <w:rPr>
          <w:sz w:val="28"/>
          <w:szCs w:val="28"/>
        </w:rPr>
        <w:t>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B01A90">
        <w:rPr>
          <w:sz w:val="28"/>
          <w:szCs w:val="28"/>
        </w:rPr>
        <w:t>Трапезникова И.Г.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признал</w:t>
      </w:r>
      <w:r w:rsidR="00B01A90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B01A90">
        <w:rPr>
          <w:sz w:val="28"/>
          <w:szCs w:val="28"/>
        </w:rPr>
        <w:t>а</w:t>
      </w:r>
      <w:r w:rsidRPr="00E7665B">
        <w:rPr>
          <w:sz w:val="28"/>
          <w:szCs w:val="28"/>
        </w:rPr>
        <w:t>, и дал</w:t>
      </w:r>
      <w:r w:rsidR="00B01A90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B01A90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2D2092">
        <w:rPr>
          <w:sz w:val="28"/>
          <w:szCs w:val="28"/>
        </w:rPr>
        <w:t xml:space="preserve">«данные изъяты»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2D2092">
        <w:rPr>
          <w:sz w:val="28"/>
          <w:szCs w:val="28"/>
        </w:rPr>
        <w:t>«данные изъяты»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B01A90">
        <w:rPr>
          <w:sz w:val="28"/>
          <w:szCs w:val="28"/>
        </w:rPr>
        <w:t>209</w:t>
      </w:r>
      <w:r w:rsidR="00142246">
        <w:rPr>
          <w:sz w:val="28"/>
          <w:szCs w:val="28"/>
        </w:rPr>
        <w:t>,9</w:t>
      </w:r>
      <w:r w:rsidR="00B01A90">
        <w:rPr>
          <w:sz w:val="28"/>
          <w:szCs w:val="28"/>
        </w:rPr>
        <w:t>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2D209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на судебное заседание не явилс</w:t>
      </w:r>
      <w:r w:rsidR="00B01A90">
        <w:rPr>
          <w:sz w:val="28"/>
          <w:szCs w:val="28"/>
        </w:rPr>
        <w:t>я</w:t>
      </w:r>
      <w:r>
        <w:rPr>
          <w:sz w:val="28"/>
          <w:szCs w:val="28"/>
        </w:rPr>
        <w:t>, просит рассмотреть дело в е</w:t>
      </w:r>
      <w:r w:rsidR="00B01A90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B01A90">
        <w:rPr>
          <w:sz w:val="28"/>
          <w:szCs w:val="28"/>
        </w:rPr>
        <w:t>Трапезниковой И.Г.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B01A90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</w:t>
      </w:r>
      <w:r w:rsidRPr="00E7665B">
        <w:rPr>
          <w:sz w:val="28"/>
          <w:szCs w:val="28"/>
        </w:rPr>
        <w:t>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01A90">
        <w:rPr>
          <w:sz w:val="28"/>
          <w:szCs w:val="28"/>
        </w:rPr>
        <w:t>Трапезниковой И.Г.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B01A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>, возмещение ущерба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B01A90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Трапезникову И</w:t>
      </w:r>
      <w:r w:rsidR="002D209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D2092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01A90">
        <w:rPr>
          <w:sz w:val="28"/>
          <w:szCs w:val="28"/>
        </w:rPr>
        <w:t>Трапезниковой И.Г.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B01A90">
            <w:pPr>
              <w:jc w:val="center"/>
            </w:pPr>
            <w:r>
              <w:t>Идентификатор 031869090000000002</w:t>
            </w:r>
            <w:r w:rsidR="00B01A90">
              <w:t>8487143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2092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073B8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E726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01A90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1E1B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4402-8B4E-407F-834B-D4E5D131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