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5AC" w:rsidP="009A65AC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Дело № 5-140/2022</w:t>
      </w:r>
    </w:p>
    <w:p w:rsidR="009A65AC" w:rsidP="009A65AC">
      <w:pPr>
        <w:pStyle w:val="Title"/>
        <w:rPr>
          <w:sz w:val="28"/>
          <w:szCs w:val="28"/>
        </w:rPr>
      </w:pPr>
    </w:p>
    <w:p w:rsidR="009A65AC" w:rsidP="009A65AC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A65AC" w:rsidP="009A65AC">
      <w:pPr>
        <w:pStyle w:val="BodyText"/>
        <w:rPr>
          <w:sz w:val="28"/>
          <w:szCs w:val="28"/>
        </w:rPr>
      </w:pPr>
    </w:p>
    <w:p w:rsidR="009A65AC" w:rsidP="009A65AC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7 апреля 2022 г.                                                                             г. Мензелинск </w:t>
      </w:r>
    </w:p>
    <w:p w:rsidR="009A65AC" w:rsidP="009A6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A65AC" w:rsidP="009A65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 2 статьи 17.3  КоАП РФ в отношении</w:t>
      </w:r>
    </w:p>
    <w:p w:rsidR="009A65AC" w:rsidP="009A65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Мозаффаровой Альфии Рашитовны,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3347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уроженки </w:t>
      </w:r>
      <w:r w:rsidR="00813347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проживающей по адресу: </w:t>
      </w:r>
      <w:r w:rsidR="00813347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  </w:t>
      </w:r>
      <w:r>
        <w:rPr>
          <w:sz w:val="28"/>
          <w:szCs w:val="28"/>
        </w:rPr>
        <w:t xml:space="preserve">не привлеченной к административной ответственности, </w:t>
      </w:r>
    </w:p>
    <w:p w:rsidR="009A65AC" w:rsidP="009A6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A65AC" w:rsidP="009A65A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A65AC" w:rsidP="009A65AC">
      <w:pPr>
        <w:pStyle w:val="BodyText"/>
        <w:rPr>
          <w:sz w:val="28"/>
          <w:szCs w:val="28"/>
        </w:rPr>
      </w:pPr>
    </w:p>
    <w:p w:rsidR="009A65AC" w:rsidP="009A65A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17 марта 2022 г. в 15:26 Мозаффарова А.Р., находясь в здании Мензелинского районного суда Республики Татарстан, расположенного по адресу: Республика Татарстан, г. Мензелинск, ул. Изыскателей, 1/39, выражалась нецензурной бранью, громко ругалась, на неоднократные замечания судебного пристава по обеспечению установленного порядка деятельности судов о прекращении действий, нарушающих установленные в суде правила поведения, не реагировала, нарушив пункта 5.2.9 Правил поведения в здании суда. </w:t>
      </w:r>
    </w:p>
    <w:p w:rsidR="009A65AC" w:rsidP="009A65A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 Мозаффарова А.Р. не явилась, надлежащим образом извещена о месте и времени рассмотрения дела, что подтверждается почтовым уведомлением, с ходатайством об отложении рассмотрения дела в суд не обращалась. </w:t>
      </w:r>
      <w:r>
        <w:rPr>
          <w:rFonts w:ascii="Times New Roman CYR" w:hAnsi="Times New Roman CYR" w:cs="Times New Roman CYR"/>
          <w:sz w:val="28"/>
          <w:szCs w:val="28"/>
        </w:rPr>
        <w:t xml:space="preserve">Суд считает возможным рассмотреть дело в отсутствие </w:t>
      </w:r>
      <w:r>
        <w:rPr>
          <w:sz w:val="28"/>
          <w:szCs w:val="28"/>
        </w:rPr>
        <w:t xml:space="preserve">Мозаффаровой А.Р. </w:t>
      </w:r>
    </w:p>
    <w:p w:rsidR="009A65AC" w:rsidP="009A65AC">
      <w:pPr>
        <w:pStyle w:val="BodyText"/>
        <w:ind w:firstLine="708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 пункту 1 статьи 11 Федерального закона от 21 июля 1997 года № 118-ФЗ "Об органах принудительного исполнения Российской Федерации" судебный пристав по обеспечению установленного порядка деятельности судов в числе иного обязан: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9A65AC" w:rsidP="009A65AC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Пунктом 1 статьи 14 названного выше закона установлено, что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9A65AC" w:rsidP="009A65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абзацу 9 пункта 5.2 Правил пребывания посетителей в Мензелинском районном суде Республики Татарстан, утвержденных </w:t>
      </w:r>
      <w:r>
        <w:rPr>
          <w:sz w:val="28"/>
          <w:szCs w:val="28"/>
        </w:rPr>
        <w:t xml:space="preserve">председателем суда 25.11.2019, посетители обязаны выполнять законные требования и распоряжения судей, сотрудников службы, обеспечивающей безопасность суда, не допуская проявлений неуважительного отношения к ним и посетителям суда. </w:t>
      </w:r>
    </w:p>
    <w:p w:rsidR="009A65AC" w:rsidP="009A65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Мозаффаровой А.Р. в совершении вышеизложенного установлена материалами дела, исследованными в судебном заседании: рапортом младшего судебного пристава по обеспечению установленного порядка деятельности судов Рашитова А.Н. о выявлении признаков административного правонарушения; объяснениями </w:t>
      </w:r>
      <w:r w:rsidR="00813347">
        <w:rPr>
          <w:sz w:val="28"/>
          <w:szCs w:val="28"/>
        </w:rPr>
        <w:t>….</w:t>
      </w:r>
      <w:r>
        <w:rPr>
          <w:sz w:val="28"/>
          <w:szCs w:val="28"/>
        </w:rPr>
        <w:t xml:space="preserve">., </w:t>
      </w:r>
      <w:r w:rsidR="00813347">
        <w:rPr>
          <w:sz w:val="28"/>
          <w:szCs w:val="28"/>
        </w:rPr>
        <w:t>….</w:t>
      </w:r>
      <w:r>
        <w:rPr>
          <w:sz w:val="28"/>
          <w:szCs w:val="28"/>
        </w:rPr>
        <w:t xml:space="preserve">., согласно которым Мозаффарова А.Р. в здании суда выражалась нецензурной бранью, на замечания судебного пристава не реагировала; протоколом об административном правонарушении. </w:t>
      </w:r>
    </w:p>
    <w:p w:rsidR="009A65AC" w:rsidP="009A65A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Своими действиями Мозаффарова А.Р. совершила административное правонарушение, предусмотренное частью  2 статьи 17.3  КоАП РФ,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9A65AC" w:rsidP="009A65A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принимает во внимание  характер совершенного административного правонарушения, личность виновной.</w:t>
      </w:r>
    </w:p>
    <w:p w:rsidR="009A65AC" w:rsidP="009A65A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Смягчающие и отягчающие наказание обстоятельства не имеются.</w:t>
      </w:r>
    </w:p>
    <w:p w:rsidR="009A65AC" w:rsidP="009A65A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КоАП РФ,</w:t>
      </w:r>
    </w:p>
    <w:p w:rsidR="009A65AC" w:rsidP="009A65AC">
      <w:pPr>
        <w:pStyle w:val="BodyText"/>
        <w:ind w:firstLine="708"/>
        <w:rPr>
          <w:sz w:val="28"/>
          <w:szCs w:val="28"/>
        </w:rPr>
      </w:pPr>
    </w:p>
    <w:p w:rsidR="009A65AC" w:rsidP="009A65AC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A65AC" w:rsidP="009A65AC">
      <w:pPr>
        <w:pStyle w:val="BodyText"/>
        <w:rPr>
          <w:sz w:val="28"/>
          <w:szCs w:val="28"/>
        </w:rPr>
      </w:pPr>
    </w:p>
    <w:p w:rsidR="009A65AC" w:rsidP="009A65A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признать Мозаффарову Альфию Рашитовну виновной в совершении административного правонарушения, предусмотренного частью  2 статьи 17.3  КоАП РФ, и назначить ей наказание в виде административного штрафа в размере 500 (пятьсот) рублей в доход государства.</w:t>
      </w:r>
    </w:p>
    <w:p w:rsidR="009A65AC" w:rsidP="009A65AC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73111601173019000140, УИН 0318690900000000027414321.</w:t>
      </w:r>
    </w:p>
    <w:p w:rsidR="009A65AC" w:rsidP="009A65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Мозаффаровой А.Р.,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9A65AC" w:rsidP="009A65AC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9A65AC" w:rsidP="009A65A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9A65AC" w:rsidP="009A65AC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A65AC" w:rsidP="009A65AC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 Хабибуллина Ч.Х.</w:t>
      </w:r>
    </w:p>
    <w:p w:rsidR="009A65AC" w:rsidP="009A65AC">
      <w:pPr>
        <w:rPr>
          <w:sz w:val="28"/>
          <w:szCs w:val="28"/>
        </w:rPr>
      </w:pPr>
    </w:p>
    <w:p w:rsidR="009A65AC" w:rsidP="009A65AC">
      <w:pPr>
        <w:pStyle w:val="Title"/>
        <w:jc w:val="left"/>
        <w:rPr>
          <w:sz w:val="28"/>
          <w:szCs w:val="28"/>
        </w:rPr>
      </w:pPr>
    </w:p>
    <w:p w:rsidR="009A65AC" w:rsidP="009A65AC">
      <w:pPr>
        <w:pStyle w:val="Title"/>
        <w:jc w:val="left"/>
        <w:rPr>
          <w:sz w:val="28"/>
          <w:szCs w:val="28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Cs w:val="24"/>
        </w:rPr>
      </w:pPr>
    </w:p>
    <w:p w:rsidR="009A65AC" w:rsidP="009A65AC">
      <w:pPr>
        <w:pStyle w:val="Title"/>
        <w:jc w:val="left"/>
        <w:rPr>
          <w:sz w:val="28"/>
          <w:szCs w:val="28"/>
        </w:rPr>
      </w:pPr>
    </w:p>
    <w:p w:rsidR="009A65AC" w:rsidP="009A65AC">
      <w:pPr>
        <w:pStyle w:val="Title"/>
        <w:jc w:val="left"/>
        <w:rPr>
          <w:sz w:val="28"/>
          <w:szCs w:val="28"/>
        </w:rPr>
      </w:pPr>
    </w:p>
    <w:p w:rsidR="009A65AC" w:rsidP="009A65AC">
      <w:pPr>
        <w:pStyle w:val="Title"/>
        <w:jc w:val="left"/>
        <w:rPr>
          <w:sz w:val="28"/>
          <w:szCs w:val="28"/>
        </w:rPr>
      </w:pPr>
    </w:p>
    <w:p w:rsidR="009A65AC" w:rsidP="009A65AC">
      <w:pPr>
        <w:pStyle w:val="Title"/>
        <w:jc w:val="lef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54"/>
    <w:rsid w:val="001B43F8"/>
    <w:rsid w:val="00566456"/>
    <w:rsid w:val="00813347"/>
    <w:rsid w:val="009A65AC"/>
    <w:rsid w:val="00C05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A65AC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9A65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A65AC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9A65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