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Питаева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LARGUS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транспортного средства с выездом на полосу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Питаева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транспортного средства с 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01760869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>Паранина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>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18810316212060041697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Питаев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уплачен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Питаева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являются: признание вины,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инвалидности 3 группы.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было зафиксировано сотрудником ГИБДД, а не в автоматическом режиме,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</w:rPr>
        <w:t>Питаеву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назначить административное наказание в виде лишения права управления транспортным средством на срок 1 год. Санкция ч. 5 ст. 12.15 КоАП РФ в данном случае не предусматривает альтернативных видов наказания.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7304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19rplc-14">
    <w:name w:val="cat-CarNumber grp-19 rplc-14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E33-C3FB-47EF-B0C5-889D3166D3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