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Гордеев Г.О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Лада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автомобиля марки «Тойота»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Гордеев Г.О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маневр обгона не совершал, ехал по своей полосе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Г.О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Г.О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01760234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</w:t>
      </w:r>
      <w:r>
        <w:rPr>
          <w:rFonts w:ascii="Times New Roman" w:eastAsia="Times New Roman" w:hAnsi="Times New Roman" w:cs="Times New Roman"/>
          <w:sz w:val="28"/>
          <w:szCs w:val="28"/>
        </w:rPr>
        <w:t>Кашапова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А.Р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«Тойота» </w:t>
      </w:r>
      <w:r>
        <w:rPr>
          <w:rFonts w:ascii="Times New Roman" w:eastAsia="Times New Roman" w:hAnsi="Times New Roman" w:cs="Times New Roman"/>
          <w:sz w:val="28"/>
          <w:szCs w:val="28"/>
        </w:rPr>
        <w:t>Маннанова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правонарушения; 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</w:t>
      </w:r>
      <w:r>
        <w:rPr>
          <w:rFonts w:ascii="Times New Roman" w:eastAsia="Times New Roman" w:hAnsi="Times New Roman" w:cs="Times New Roman"/>
          <w:sz w:val="28"/>
          <w:szCs w:val="28"/>
        </w:rPr>
        <w:t>12550035529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уплачен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Гордеев Г.О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Г.О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Г.О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он не совершал маневр обгона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опровергается совокупностью вышеперечисленных доказательств и расценивается судом как способ избежать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Гордеева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869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B93A-E32E-4030-BE34-10DA06FE00C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