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Клюев,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Микрорайон 2, д. 2/16, кв. 167,</w:t>
      </w:r>
    </w:p>
    <w:p>
      <w:pPr>
        <w:spacing w:before="0" w:after="0"/>
        <w:ind w:firstLine="5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HYUNDAI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ACCENT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5rplc-1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двигался по полосе</w:t>
      </w:r>
      <w:r>
        <w:rPr>
          <w:rFonts w:ascii="Times New Roman" w:eastAsia="Times New Roman" w:hAnsi="Times New Roman" w:cs="Times New Roman"/>
          <w:sz w:val="28"/>
          <w:szCs w:val="28"/>
        </w:rPr>
        <w:t>, предназначенн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разметки 1.1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В.А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обогнал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на проезжую часть вылетели </w:t>
      </w:r>
      <w:r>
        <w:rPr>
          <w:rFonts w:ascii="Times New Roman" w:eastAsia="Times New Roman" w:hAnsi="Times New Roman" w:cs="Times New Roman"/>
          <w:sz w:val="28"/>
          <w:szCs w:val="28"/>
        </w:rPr>
        <w:t>металлические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большие комки грязи, поэтому он вынужден был выехать на встречную полосу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в судебном заседании в качестве свидетеля ИДПС Фролов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суду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марта 2022 года он с ИДПС </w:t>
      </w:r>
      <w:r>
        <w:rPr>
          <w:rFonts w:ascii="Times New Roman" w:eastAsia="Times New Roman" w:hAnsi="Times New Roman" w:cs="Times New Roman"/>
          <w:sz w:val="28"/>
          <w:szCs w:val="28"/>
        </w:rPr>
        <w:t>Байдаловым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двигался на служебном автомобиле в сторону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Дорога имела одну полосу движения в попутном направлении и отделенны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сплошной линией разметки две полосы движения во встречном направлении.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Внезапно перед ними на встречную полосу движения выехал 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>марки «HYUNDAI ACCENT»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из-за чего им пришлось сместиться в сторону обочины, чтобы избежать столкновения с ним. </w:t>
      </w:r>
      <w:r>
        <w:rPr>
          <w:rFonts w:ascii="Times New Roman" w:eastAsia="Times New Roman" w:hAnsi="Times New Roman" w:cs="Times New Roman"/>
          <w:sz w:val="28"/>
          <w:szCs w:val="28"/>
        </w:rPr>
        <w:t>Затем они развернулись, догнали и остановили данный автомобиль, водителем которого оказался Фомин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В.А. Водитель пояснил, что вынужденно выех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 на встречную полосу движения, так как объезжал лежащий на дороге «штырь». </w:t>
      </w:r>
      <w:r>
        <w:rPr>
          <w:rFonts w:ascii="Times New Roman" w:eastAsia="Times New Roman" w:hAnsi="Times New Roman" w:cs="Times New Roman"/>
          <w:sz w:val="28"/>
          <w:szCs w:val="28"/>
        </w:rPr>
        <w:t>Однако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осмотре проезжей части на ней никаких предметов не обнаружено. </w:t>
      </w:r>
      <w:r>
        <w:rPr>
          <w:rFonts w:ascii="Times New Roman" w:eastAsia="Times New Roman" w:hAnsi="Times New Roman" w:cs="Times New Roman"/>
          <w:sz w:val="28"/>
          <w:szCs w:val="28"/>
        </w:rPr>
        <w:t>Перед автомобилем Фомина В.А. других транспортных средств не было. Фролов И.А. не видел, чтобы автомобиль Фомина В.А. кто-либо обгонял.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Фомина В.А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Фролова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9.1.1 ПДД РФ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Фомина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разметки 1.1.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06508146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>Байдалова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предупрежденн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РФ; </w:t>
      </w:r>
      <w:r>
        <w:rPr>
          <w:rFonts w:ascii="Times New Roman" w:eastAsia="Times New Roman" w:hAnsi="Times New Roman" w:cs="Times New Roman"/>
          <w:sz w:val="28"/>
          <w:szCs w:val="28"/>
        </w:rPr>
        <w:t>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показаниями ИДПС Фролова И.А., данными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18810316211999392615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Фомин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уплачен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Фомин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Фомина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Фомина В.А. о том, что он вынужденно выехал на полосу встречного движения с целью объезда препятствия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опровергается совокупностью исследованных доказательств и расценивается судом как способ избежать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действий Фомина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крайней необходимости,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инвалидность 3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</w:t>
      </w:r>
      <w:r>
        <w:rPr>
          <w:rStyle w:val="cat-UserDefinedgrp-27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9873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5">
    <w:name w:val="cat-UserDefined grp-27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CarNumbergrp-25rplc-13">
    <w:name w:val="cat-CarNumber grp-25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UserDefinedgrp-27rplc-47">
    <w:name w:val="cat-UserDefined grp-2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69C6-76A1-4761-8FE1-C083CD10CB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