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40143561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не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о наложении штрафа не получал, узнал о нем при составлении протокола по ч. 1 ст. 20.25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автомобилем фактически пользуется дочь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 должна была данный штраф 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40143561 от 23.09.2021 </w:t>
      </w:r>
      <w:r>
        <w:rPr>
          <w:rFonts w:ascii="Times New Roman" w:eastAsia="Times New Roman" w:hAnsi="Times New Roman" w:cs="Times New Roman"/>
          <w:sz w:val="28"/>
          <w:szCs w:val="28"/>
        </w:rPr>
        <w:t>Долотов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Долотов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Долотовым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06293624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Долотов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о неполучении постановления о наложении штрафа опровергается сведениями об отслеживании почтового отправления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42094764525530.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автомобилем, на который зафиксирован штраф, пользуется его дочь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несостоятельным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право собственности на автомобиль на день фиксации правонарушения было зарегистрировано на </w:t>
      </w: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обжаловано, вступило в законную силу, и в рамках рассмотрения настоящего дела суд не вправе ставить под сомнение его законность и обоснованность.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375530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