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Марапова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16"/>
          <w:szCs w:val="16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HYUNDAI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SOLARIS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дорожной разметки 1.1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успел завершить обгон до начала действия зоны запрещенной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Марапова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06242498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собственноручно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указал: «Согласен» и поставил свои подписи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фотоматериалом; письменным объяснением ИДПС </w:t>
      </w:r>
      <w:r>
        <w:rPr>
          <w:rFonts w:ascii="Times New Roman" w:eastAsia="Times New Roman" w:hAnsi="Times New Roman" w:cs="Times New Roman"/>
          <w:sz w:val="28"/>
          <w:szCs w:val="28"/>
        </w:rPr>
        <w:t>Асхадуллина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предупрежденного об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</w:t>
      </w:r>
      <w:r>
        <w:rPr>
          <w:rFonts w:ascii="Times New Roman" w:eastAsia="Times New Roman" w:hAnsi="Times New Roman" w:cs="Times New Roman"/>
          <w:sz w:val="28"/>
          <w:szCs w:val="28"/>
        </w:rPr>
        <w:t>11990002032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 16 февраля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Марпова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Марапова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о том, что он успел завершить маневр до начала зоны действия дорожной разметки 1.1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совокупностью вышеперечисленных доказательств и расцениваются судом как способ избежать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95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9484-82F8-451E-A6DC-72726AC788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