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1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Фахрутдинов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автомобиле марки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16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платную </w:t>
      </w:r>
      <w:r>
        <w:rPr>
          <w:rFonts w:ascii="Times New Roman" w:eastAsia="Times New Roman" w:hAnsi="Times New Roman" w:cs="Times New Roman"/>
          <w:sz w:val="28"/>
          <w:szCs w:val="28"/>
        </w:rPr>
        <w:t>перевозку пассажиров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предпринимательскую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Фахрутдинов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300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>М.В. Кирьянова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Аббазовой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Д.Р</w:t>
      </w:r>
      <w:r>
        <w:rPr>
          <w:rFonts w:ascii="Times New Roman" w:eastAsia="Times New Roman" w:hAnsi="Times New Roman" w:cs="Times New Roman"/>
          <w:sz w:val="28"/>
          <w:szCs w:val="28"/>
        </w:rPr>
        <w:t>., предупрежденно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ст. 17.9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письменного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Фахрутдинову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Фахрутдинова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614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Numbergrp-16rplc-15">
    <w:name w:val="cat-CarNumber grp-16 rplc-15"/>
    <w:basedOn w:val="DefaultParagraphFont"/>
  </w:style>
  <w:style w:type="character" w:customStyle="1" w:styleId="cat-UserDefinedgrp-24rplc-25">
    <w:name w:val="cat-UserDefined grp-24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