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 об административном правонарушении по части 1 статьи 14.1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Олышева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Олышев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автомобиле марки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14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платную </w:t>
      </w:r>
      <w:r>
        <w:rPr>
          <w:rFonts w:ascii="Times New Roman" w:eastAsia="Times New Roman" w:hAnsi="Times New Roman" w:cs="Times New Roman"/>
          <w:sz w:val="28"/>
          <w:szCs w:val="28"/>
        </w:rPr>
        <w:t>перевозку пассажиров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предпринимательскую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Олышев И.В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установлена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установленным,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Олышева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вывод суда следует: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300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Хисматуллина Ф.Р</w:t>
      </w:r>
      <w:r>
        <w:rPr>
          <w:rFonts w:ascii="Times New Roman" w:eastAsia="Times New Roman" w:hAnsi="Times New Roman" w:cs="Times New Roman"/>
          <w:sz w:val="28"/>
          <w:szCs w:val="28"/>
        </w:rPr>
        <w:t>., предупрежденно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ответственности по ст. 17.9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письменного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Олышева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Олышева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Олышеву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14.1, 23.1, 24.5,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Олышева </w:t>
      </w:r>
      <w:r>
        <w:rPr>
          <w:rStyle w:val="cat-UserDefinedgrp-22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614</w:t>
      </w:r>
      <w:r>
        <w:rPr>
          <w:rFonts w:ascii="Times New Roman" w:eastAsia="Times New Roman" w:hAnsi="Times New Roman" w:cs="Times New Roman"/>
          <w:sz w:val="28"/>
          <w:szCs w:val="28"/>
        </w:rPr>
        <w:t>7828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CarNumbergrp-14rplc-15">
    <w:name w:val="cat-CarNumber grp-14 rplc-15"/>
    <w:basedOn w:val="DefaultParagraphFont"/>
  </w:style>
  <w:style w:type="character" w:customStyle="1" w:styleId="cat-UserDefinedgrp-22rplc-24">
    <w:name w:val="cat-UserDefined grp-22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