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публики Татарстан Хамидуллина Венера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</w:rPr>
        <w:t>9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 </w:t>
      </w:r>
      <w:r>
        <w:rPr>
          <w:rFonts w:ascii="Times New Roman" w:eastAsia="Times New Roman" w:hAnsi="Times New Roman" w:cs="Times New Roman"/>
          <w:sz w:val="28"/>
          <w:szCs w:val="28"/>
        </w:rPr>
        <w:t>один удар левой рукой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затем пнул в спину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конфликт с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ударов произошло из-за словесной перепалки.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Л.К,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физическую боль.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от 30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 протоколом осмотра места происшествия (с фототаблицей);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заключением эксперта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иждивение 1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близких 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низкое материальное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удом признается смягчающим административную ответственность обстоятельством.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обязательных работ сроком на 60 (шестьдесят)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возложить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Балтасинскому и Кукморскому районам УФССП России по Республике Татарстан.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частью 12 статьи 32.13 Кодекса Российской Федерации об административных правонарушениях,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1027ECAD28C3E47EDA243E0EC4F5308225968D09AF8F25D17C7C4AF0181AC5BA0CC42D537304B419B9B05B580CF1449320FD50A8FDA1s7B0I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