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И.З,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И.З,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</w:rPr>
        <w:t>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уважительности причин неявки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И.З,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Шакировой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и.З,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И.З,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0991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настоящего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