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320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публики Татарстан Хамидуллина Венера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у 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улице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ссоры </w:t>
      </w:r>
      <w:r>
        <w:rPr>
          <w:rFonts w:ascii="Times New Roman" w:eastAsia="Times New Roman" w:hAnsi="Times New Roman" w:cs="Times New Roman"/>
          <w:sz w:val="28"/>
          <w:szCs w:val="28"/>
        </w:rPr>
        <w:t>нанес около 5 ударов рукой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различным частям тела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самым причинил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пояснив суду, что конфликт с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нанесение ударов произошло из-за словесной перепалки.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пояснила, что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ее, отчего она почувствовала сильную физическую боль.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года; протоколом осмотра места происшествия (с фототаблицей);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года; заключением эксперта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действия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6.1.1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иждивение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удом признается смягчающим административную ответственность обстоятельством.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29.11, 6.1.1 Кодекса Российской Федерации об административных правонарушениях, суд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965504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6">
    <w:name w:val="cat-UserDefined grp-3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