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5-269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отрев материалы по части 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24 марта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установлен административный надзор </w:t>
      </w:r>
      <w:r>
        <w:rPr>
          <w:rFonts w:ascii="Times New Roman" w:eastAsia="Times New Roman" w:hAnsi="Times New Roman" w:cs="Times New Roman"/>
          <w:sz w:val="28"/>
          <w:szCs w:val="28"/>
        </w:rPr>
        <w:t>сроком на три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установлены ограничения в виде: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запрета пребывать в местах общественного питания, где осуществляется продажа спиртных напитков; запрета пребывать вне жилого помещения,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местом его жительства или пребывания, в период с 22 часов до 06 часов следующего дня;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запрета выезда за пределы муниципального района по месту жительства или пребывания без письменного разрешения органа внутренних дел; обязательной явки 2 раза в месяц на регистрацию в орган внутренних дел по месту жительства в день, определенный сотрудником отдела внутренних дел; запрета посещать места проведения массовых мероприятий и участвовать в указанных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22 часа 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жительства,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Кукморский муниципальный район,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ебном заседании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ину признал,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уснул и не слышал, как пришли сотрудники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отдела МВД России по Кукм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орскому району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суд приходит к выводу о доказанности вины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собранными и исследованными судом доказательствами: 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правонарушении от 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р</w:t>
      </w:r>
      <w:r>
        <w:rPr>
          <w:rFonts w:ascii="Times New Roman" w:eastAsia="Times New Roman" w:hAnsi="Times New Roman" w:cs="Times New Roman"/>
          <w:sz w:val="28"/>
          <w:szCs w:val="28"/>
        </w:rPr>
        <w:t>апортом сотрудника полиции от 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посещения поднадзорного лица по месту жите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 или пребывания от 31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 мая 2022 года, протоколом о доставлении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июня 2022 года, копией решения Кукморского 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Республики Татарстан от 24 марта 2020 года, заключением о заведении дела административного надзора на лицо, освобожденное из мест лишения свободы,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 установлены ограничения в соответствии с законодательством Российской Федерации от 26 июня 2021 года, предупреждениями от 08 февраля 2022 года, 26 июня 2021 года, сообщением ОМВД России по 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Фатыхова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от 04 июня 2022 года, проколом об административном задержании от 04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вину </w:t>
      </w:r>
      <w:r>
        <w:rPr>
          <w:rStyle w:val="cat-UserDefinedgrp-34rplc-50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частью 1 статьи 19.24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полностью доказанной.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UserDefinedgrp-35rplc-5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19.24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одного малолетнего ребенка, состояние здоровья близких родственников 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его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54"/>
          <w:rFonts w:ascii="Times New Roman" w:eastAsia="Times New Roman" w:hAnsi="Times New Roman" w:cs="Times New Roman"/>
          <w:sz w:val="28"/>
          <w:szCs w:val="28"/>
        </w:rPr>
        <w:t>А,В.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2rplc-5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22 часов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 момента доставления в соответствии с протоколом о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доставлении от 04 июня 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76" w:lineRule="auto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4rplc-50">
    <w:name w:val="cat-UserDefined grp-34 rplc-50"/>
    <w:basedOn w:val="DefaultParagraphFont"/>
  </w:style>
  <w:style w:type="character" w:customStyle="1" w:styleId="cat-UserDefinedgrp-35rplc-51">
    <w:name w:val="cat-UserDefined grp-35 rplc-51"/>
    <w:basedOn w:val="DefaultParagraphFont"/>
  </w:style>
  <w:style w:type="character" w:customStyle="1" w:styleId="cat-UserDefinedgrp-36rplc-54">
    <w:name w:val="cat-UserDefined grp-36 rplc-54"/>
    <w:basedOn w:val="DefaultParagraphFont"/>
  </w:style>
  <w:style w:type="character" w:customStyle="1" w:styleId="cat-UserDefinedgrp-22rplc-56">
    <w:name w:val="cat-UserDefined grp-2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1C820921FDD6DAA87F5E9ADAB6105B368A424E053FEE1D39FE36B33AE6994466854CFF0BCFDFDFX1t3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