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 июня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>Республика Татарстан, г. Кукмор, ул. Вахитова, д. 13</w:t>
      </w:r>
    </w:p>
    <w:p>
      <w:pPr>
        <w:spacing w:before="0" w:after="0"/>
        <w:jc w:val="right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участка №2 по Кукморскому судебному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району Республики Татарстан Хамидуллина Венера Юрьевна,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по части 1 статьи 20.35 Кодекса Российской Федерации об административных правонарушениях в отношении должностного лица – </w:t>
      </w:r>
      <w:r>
        <w:rPr>
          <w:rStyle w:val="cat-UserDefinedgrp-31rplc-4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Прокуратурой Кукморского района Республики Татарстан 23 мая 2022 года проведена проверка в </w:t>
      </w:r>
      <w:r>
        <w:rPr>
          <w:rStyle w:val="cat-UserDefinedgrp-33rplc-15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рамках осуществления деятельности по надзору за соблюдением законодательства о противодействии терроризму. В </w:t>
      </w:r>
      <w:r>
        <w:rPr>
          <w:rFonts w:ascii="Times New Roman" w:eastAsia="Times New Roman" w:hAnsi="Times New Roman" w:cs="Times New Roman"/>
          <w:sz w:val="27"/>
          <w:szCs w:val="27"/>
        </w:rPr>
        <w:t>ходе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которой было установлено, что 23 мая 2022 года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МБОУ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Кукморского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работает с открытыми дверями входных ворот.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Вследствие чего должностные лица прокуратуры района, ФГКУ «УВО ВНГ России по Республике Татарстан» прошли на территорию </w:t>
      </w:r>
      <w:r>
        <w:rPr>
          <w:rFonts w:ascii="Times New Roman" w:eastAsia="Times New Roman" w:hAnsi="Times New Roman" w:cs="Times New Roman"/>
          <w:sz w:val="27"/>
          <w:szCs w:val="27"/>
        </w:rPr>
        <w:t>учреждения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последующем внутрь помещения.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Тем самым, </w:t>
      </w:r>
      <w:r>
        <w:rPr>
          <w:rStyle w:val="cat-UserDefinedgrp-35rplc-26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Style w:val="cat-UserDefinedgrp-36rplc-29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изложенном признал.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Старший помощник прокурора Кукморского района Республики Татарстан </w:t>
      </w:r>
      <w:r>
        <w:rPr>
          <w:rStyle w:val="cat-UserDefinedgrp-37rplc-32"/>
          <w:rFonts w:ascii="Times New Roman" w:eastAsia="Times New Roman" w:hAnsi="Times New Roman" w:cs="Times New Roman"/>
          <w:sz w:val="27"/>
          <w:szCs w:val="27"/>
        </w:rPr>
        <w:t>В.И.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заседании постановление по делу об административном правонарушении полностью поддержал, просил признать </w:t>
      </w:r>
      <w:r>
        <w:rPr>
          <w:rStyle w:val="cat-UserDefinedgrp-38rplc-34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статьей 20.35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лиц, участвующих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суд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следующее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1 статьи 20.35 КоАП РФ нарушение требований к антитеррористической защищенности объектов (территорий) либо воспрепятствование деятельности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осуществлению возложенной на него обязанности по выполнению или обеспечению требований к </w:t>
      </w:r>
      <w:r>
        <w:rPr>
          <w:rFonts w:ascii="Times New Roman" w:eastAsia="Times New Roman" w:hAnsi="Times New Roman" w:cs="Times New Roman"/>
          <w:sz w:val="27"/>
          <w:szCs w:val="27"/>
        </w:rPr>
        <w:t>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деяния,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статье 2 Федерального закона от 28 декабря 2010 года № 390-ФЗ «О безопасности», основными принципами обеспечения безопасности является, в том числе приоритет предупредительных мер в целях обеспечения безопасности.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6 статьи 28 Федерального закона от 29 декабря 2012 года N 273-ФЗ "Об образовании в Российской Федерации", образовательная организация обязана, в том числе создавать безопасные условия обучения и воспитания </w:t>
      </w:r>
      <w:r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8 части 1 статьи 41 данного Федерального закона, охрана здоровья обучающихся включает в себя, в том числе, обеспечение безопасности обучающихся во время пребывания в образовательной организации.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пунктами 17-20, 24 Постановления Правительства РФ от 02 августа 2019 года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 Антитеррористическая защищенность объектов (территорий) обеспечивается путем осуществления комплекса мер, направленных: а) на воспрепятствование неправомерному проникновению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объекты (территории); б) на выявление нарушителей установленных на объектах (территориях)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и (или) признаков подготовки или совершения террористического акта; в) на пресечение попыток совершения террористических актов на объектах (территориях); г) на минимизацию возможных последствий совершения террористических актов на объектах (территориях) и ликвидацию угрозы их совершения; д)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 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18.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Воспрепятствование неправомерному проникновению на объекты (территории) достигается посредством: а) разработки и реализации комплекса мер по предупреждению, выявлению и устранению причин неправомерного проникновения на объекты (территории), локализации и нейтрализации последствий их проявления; б) организации и обеспечения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режимов, контроля их функционирования; в) своевременного предупреждения, выявления и пресечения действий лиц, направленных на совершение террористического акта;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г) обеспечения охраны объектов (территорий) и оснащения объектов (территорий) инженерно-техническими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средствами и системами охраны; ж) осуществления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мероприятий по обеспечению антитеррористической защищенности объектов (территорий); з) организации индивидуальной работы с работниками объектов (территорий) по вопросам противодействия идеологии терроризма и экстремизма в образовательной деятельности.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Выявление потенциальных нарушителей установленных на объектах (территориях)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и (или) признаков подготовки или совершения террористического акта обеспечивается путем: а) неукоснительного соблюдения на объектах (территориях)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режимов; б)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в) принятия к нарушителям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мер ответственности, предусмотренных законодательством Российской Федерации; г) исключения бесконтрольного пребывания на объектах (территориях) посторонних лиц и нахождения транспортных средств;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20.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Пресечение попыток совершения террористических актов на объектах (территориях) достигается посредством: а) организации и обеспечения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на объектах (территориях); б)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 и веществ) на объекты (территории);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в) организации санкционированного допуска на объекты (территории) посетителей и автотранспортных средств; д)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е)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24.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 в) обеспечение пропускного и </w:t>
      </w:r>
      <w:r>
        <w:rPr>
          <w:rFonts w:ascii="Times New Roman" w:eastAsia="Times New Roman" w:hAnsi="Times New Roman" w:cs="Times New Roman"/>
          <w:sz w:val="27"/>
          <w:szCs w:val="27"/>
        </w:rPr>
        <w:t>внутриобъектового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режимов и осуществление контроля за их функционированием; и)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видно из материалов дела, в рамках осуществления деятельности по надзору за соблюдением законодательства о противодействии терроризму прокуратурой Кукморского района Республики Татарстан проведена проверка на территории и в здании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дошкольной группы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2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45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момент проверки антитеррористической защищенности установлено, что учреждение работает с открытыми дверями. В дальнейшем комиссия беспрепятственно прошла на территорию и внутрь учреждения.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UserDefinedgrp-41rplc-48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материалами дела: постановлением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25 мая 2022 года, </w:t>
      </w:r>
      <w:r>
        <w:rPr>
          <w:rFonts w:ascii="Times New Roman" w:eastAsia="Times New Roman" w:hAnsi="Times New Roman" w:cs="Times New Roman"/>
          <w:sz w:val="27"/>
          <w:szCs w:val="27"/>
        </w:rPr>
        <w:t>актом проверки исполнения законодательства о противодействии терроризму, должностной инструкцией, выпиской из приказа, приказом о приеме на работу и иными материалами дела.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Style w:val="cat-UserDefinedgrp-42rplc-51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 1 статьи 20.35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признается смягчающим административную ответственность обстоятельством.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личность лица, привлекаемой к административной ответственности, смягчающее административную ответственность обстоятельство, суд приходит к выводу, что достижение целей административного наказания возможно с назначением административного наказания в виде минимального размера административного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статьями 20.35, 29.9, 29.10 КоАП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Style w:val="cat-UserDefinedgrp-43rplc-52"/>
          <w:rFonts w:ascii="Times New Roman" w:eastAsia="Times New Roman" w:hAnsi="Times New Roman" w:cs="Times New Roman"/>
          <w:sz w:val="27"/>
          <w:szCs w:val="27"/>
        </w:rPr>
        <w:t>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20.35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(тридцати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32.2 КоАП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049205001,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03100643000000011100, ИНН 1654003139, КПП 165501001, КБК 73111601063010101140, к/с 40102810445370000079, ОКТМО 92701000001, идентификатор 031869090000000002</w:t>
      </w:r>
      <w:r>
        <w:rPr>
          <w:rFonts w:ascii="Times New Roman" w:eastAsia="Times New Roman" w:hAnsi="Times New Roman" w:cs="Times New Roman"/>
          <w:sz w:val="27"/>
          <w:szCs w:val="27"/>
        </w:rPr>
        <w:t>84990</w:t>
      </w:r>
      <w:r>
        <w:rPr>
          <w:rFonts w:ascii="Times New Roman" w:eastAsia="Times New Roman" w:hAnsi="Times New Roman" w:cs="Times New Roman"/>
          <w:sz w:val="27"/>
          <w:szCs w:val="27"/>
        </w:rPr>
        <w:t>76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4">
    <w:name w:val="cat-UserDefined grp-31 rplc-4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42rplc-51">
    <w:name w:val="cat-UserDefined grp-42 rplc-51"/>
    <w:basedOn w:val="DefaultParagraphFont"/>
  </w:style>
  <w:style w:type="character" w:customStyle="1" w:styleId="cat-UserDefinedgrp-43rplc-52">
    <w:name w:val="cat-UserDefined grp-43 rplc-52"/>
    <w:basedOn w:val="DefaultParagraphFont"/>
  </w:style>
  <w:style w:type="character" w:customStyle="1" w:styleId="cat-UserDefinedgrp-44rplc-65">
    <w:name w:val="cat-UserDefined grp-44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