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232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</w:t>
      </w:r>
      <w:r>
        <w:rPr>
          <w:rFonts w:ascii="Times New Roman" w:eastAsia="Times New Roman" w:hAnsi="Times New Roman" w:cs="Times New Roman"/>
          <w:sz w:val="28"/>
          <w:szCs w:val="28"/>
        </w:rPr>
        <w:t>Г.М.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части первой статьи 12.26 Кодекса Российской Федерации об административных правонарушениях в отношении </w:t>
      </w:r>
      <w:r>
        <w:rPr>
          <w:rStyle w:val="cat-UserDefinedgrp-38rplc-6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UserDefinedgrp-41rplc-12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Style w:val="cat-UserDefinedgrp-42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UserDefinedgrp-43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номером </w:t>
      </w:r>
      <w:r>
        <w:rPr>
          <w:rStyle w:val="cat-UserDefinedgrp-44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алкогольного опьянения, и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45rplc-23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вину в изложенном не признал,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</w:rPr>
        <w:t>Ниссан Ноте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государственным </w:t>
      </w:r>
      <w:r>
        <w:rPr>
          <w:rStyle w:val="cat-UserDefinedgrp-46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 декабря 2021 года около 18 часов съехал в кювет, </w:t>
      </w:r>
      <w:r>
        <w:rPr>
          <w:rFonts w:ascii="Times New Roman" w:eastAsia="Times New Roman" w:hAnsi="Times New Roman" w:cs="Times New Roman"/>
          <w:sz w:val="28"/>
          <w:szCs w:val="28"/>
        </w:rPr>
        <w:t>после чего оставив свой автомобиль, пошел искать трактор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чтобы вытащить машину из сугроба.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односельчанин в тот день не смог ему оказать помощь. Далее он направился в клуб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в дер. </w:t>
      </w:r>
      <w:r>
        <w:rPr>
          <w:rStyle w:val="cat-UserDefinedgrp-48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</w:rPr>
        <w:t>пробыл недолго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обратном пути из клуба, когда он со знакомыми пытался </w:t>
      </w:r>
      <w:r>
        <w:rPr>
          <w:rFonts w:ascii="Times New Roman" w:eastAsia="Times New Roman" w:hAnsi="Times New Roman" w:cs="Times New Roman"/>
          <w:sz w:val="28"/>
          <w:szCs w:val="28"/>
        </w:rPr>
        <w:t>вытолкать машину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асфальт, подъехали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сотрудники по</w:t>
      </w:r>
      <w:r>
        <w:rPr>
          <w:rFonts w:ascii="Times New Roman" w:eastAsia="Times New Roman" w:hAnsi="Times New Roman" w:cs="Times New Roman"/>
          <w:sz w:val="28"/>
          <w:szCs w:val="28"/>
        </w:rPr>
        <w:t>лиции.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управлял трезвый, алкоголь употребил после факта дорожно-транспортного происшествия. </w:t>
      </w:r>
      <w:r>
        <w:rPr>
          <w:rStyle w:val="cat-UserDefinedgrp-49rplc-33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защитник </w:t>
      </w:r>
      <w:r>
        <w:rPr>
          <w:rStyle w:val="cat-UserDefinedgrp-50rplc-35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переквалифицировать с части 1 статьи 12.26 КоАП РФ на статью 12.27 КоАП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пояснения </w:t>
      </w:r>
      <w:r>
        <w:rPr>
          <w:rStyle w:val="cat-UserDefinedgrp-51rplc-37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защитника </w:t>
      </w:r>
      <w:r>
        <w:rPr>
          <w:rStyle w:val="cat-UserDefinedgrp-52rplc-39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40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4rplc-43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Кукморскому району </w:t>
      </w:r>
      <w:r>
        <w:rPr>
          <w:rStyle w:val="cat-UserDefinedgrp-55rplc-46"/>
          <w:rFonts w:ascii="Times New Roman" w:eastAsia="Times New Roman" w:hAnsi="Times New Roman" w:cs="Times New Roman"/>
          <w:sz w:val="28"/>
          <w:szCs w:val="28"/>
        </w:rPr>
        <w:t>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Саляхиева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вменяемого административного правонарушения.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Кукморскому району </w:t>
      </w:r>
      <w:r>
        <w:rPr>
          <w:rStyle w:val="cat-UserDefinedgrp-55rplc-51"/>
          <w:rFonts w:ascii="Times New Roman" w:eastAsia="Times New Roman" w:hAnsi="Times New Roman" w:cs="Times New Roman"/>
          <w:sz w:val="28"/>
          <w:szCs w:val="28"/>
        </w:rPr>
        <w:t>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с 7 часов 31 декабря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на службе в наряде ДПС совместно с инспектором </w:t>
      </w:r>
      <w:r>
        <w:rPr>
          <w:rStyle w:val="cat-UserDefinedgrp-56rplc-5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участковым уполномоченным полиции </w:t>
      </w:r>
      <w:r>
        <w:rPr>
          <w:rStyle w:val="cat-UserDefinedgrp-57rplc-5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</w:rPr>
        <w:t>выехали в деревни. Около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 на 20 км автодороги </w:t>
      </w:r>
      <w:r>
        <w:rPr>
          <w:rStyle w:val="cat-UserDefinedgrp-58rplc-5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замечен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Ниссан Ноте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государственным регистрационным номером </w:t>
      </w:r>
      <w:r>
        <w:rPr>
          <w:rStyle w:val="cat-UserDefinedgrp-44rplc-6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двигался со стороны д. Янцобино в направлении д. Трыш. При движе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справился с управлением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выехал на обочину по встречному направлению движения транспортного средства.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подъехали, остановились, спустились к автомобилю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Ниссан Ноте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Водителем оказался </w:t>
      </w:r>
      <w:r>
        <w:rPr>
          <w:rStyle w:val="cat-UserDefinedgrp-59rplc-66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предложено пройти освидетельствование на состояние алкогольного опьянения, от которого </w:t>
      </w:r>
      <w:r>
        <w:rPr>
          <w:rStyle w:val="cat-UserDefinedgrp-60rplc-68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>, также отказался и от прохождения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Приведенные обстоятельства 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61rplc-6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показаниям </w:t>
      </w:r>
      <w:r>
        <w:rPr>
          <w:rStyle w:val="cat-UserDefinedgrp-62rplc-7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относится критически, так как указанные показания опровергаются доказательствами, собранными по делу. Кроме того, указанные свидетели состоят в дружеских отношениях с </w:t>
      </w:r>
      <w:r>
        <w:rPr>
          <w:rStyle w:val="cat-UserDefinedgrp-63rplc-80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они могут быть заинтересованы в благоприятном для него исходе дела.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UserDefinedgrp-64rplc-82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защитника </w:t>
      </w:r>
      <w:r>
        <w:rPr>
          <w:rStyle w:val="cat-UserDefinedgrp-65rplc-84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 </w:t>
      </w:r>
      <w:r>
        <w:rPr>
          <w:rStyle w:val="cat-UserDefinedgrp-66rplc-86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поскольку до направления на медицинское освидетельствование не управлял транспортным средством, основаны на ошибочном понимании закона и подлежат отклонению по следующим основаниям.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 4 пункта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невыполнение которых образует состав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установлен запрет на употребление водителем алкогольных напитков, наркотических, психотропных или иные одурманивающих веществ после дорожно-транспортного происшествия, к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 он причастен, до проведения освидетельствования с целью установления состояния опьянения или до принятия решения об освобождении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такого освидетельствования.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примечанию к статье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административная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Вопреки доводам </w:t>
      </w:r>
      <w:r>
        <w:rPr>
          <w:rStyle w:val="cat-UserDefinedgrp-51rplc-88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материалов дела следует, что основанием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послужило наличие признаков его нахождения в состоянии опьянения на момент прибытия к нему сотрудников ГИБДД и его последующий отказ от прохождения освидетельствования на состояние алкогольного опьянения на месте.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обстоятельства с достоверностью подтверждается совокупностью представленных в материалах дела доказательств.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установления признаков нахождения </w:t>
      </w:r>
      <w:r>
        <w:rPr>
          <w:rStyle w:val="cat-UserDefinedgrp-67rplc-90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 спустя незначительный промежуток времени после его участия в дорожно-транспортном происшествии, у сотрудника полиции имелись законные основания для применения в отношении указанного лица мер обеспечения,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 целью решения вопроса о наличии или отсутствии в его действиях состава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факт управления автомобилем и отказа </w:t>
      </w:r>
      <w:r>
        <w:rPr>
          <w:rStyle w:val="cat-UserDefinedgrp-68rplc-92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наш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 в ходе рассмотрения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UserDefinedgrp-64rplc-94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защитника </w:t>
      </w:r>
      <w:r>
        <w:rPr>
          <w:rStyle w:val="cat-UserDefinedgrp-65rplc-96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невиновности и незаконном привлечении его к административной ответственности не нашли своего подтверждения при рассмотрении дела, </w:t>
      </w:r>
      <w:r>
        <w:rPr>
          <w:rFonts w:ascii="Times New Roman" w:eastAsia="Times New Roman" w:hAnsi="Times New Roman" w:cs="Times New Roman"/>
          <w:sz w:val="28"/>
          <w:szCs w:val="28"/>
        </w:rPr>
        <w:t>и расцениваются судьей как данные в целях самозащиты правонарушителем.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Неустранимых сомнений в виновности </w:t>
      </w:r>
      <w:r>
        <w:rPr>
          <w:rStyle w:val="cat-UserDefinedgrp-69rplc-98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делу не 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r>
        <w:rPr>
          <w:rStyle w:val="cat-UserDefinedgrp-70rplc-100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видеозаписи не в полном объеме зафиксированы все действия сот</w:t>
      </w:r>
      <w:r>
        <w:rPr>
          <w:rFonts w:ascii="Times New Roman" w:eastAsia="Times New Roman" w:hAnsi="Times New Roman" w:cs="Times New Roman"/>
          <w:sz w:val="28"/>
          <w:szCs w:val="28"/>
        </w:rPr>
        <w:t>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опровергаются исследованной видеозаписью, на которой зафиксирован процесс с момента следования сотрудниками полиции за транспортным средством под управлением </w:t>
      </w:r>
      <w:r>
        <w:rPr>
          <w:rStyle w:val="cat-UserDefinedgrp-64rplc-102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всех процессуальных действий.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Диски с видеозаписью приложены к материалам дела. То обстоятельство, что фиксация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действий, совершаемых в отношении </w:t>
      </w:r>
      <w:r>
        <w:rPr>
          <w:rStyle w:val="cat-UserDefinedgrp-71rplc-104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диск несколькими файлами и не в полном объеме, не свидетельствует о монтаже записи.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составлении протокола об административном правонарушении </w:t>
      </w:r>
      <w:r>
        <w:rPr>
          <w:rStyle w:val="cat-UserDefinedgrp-72rplc-106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>, о чем имеется его подпись в соответствующей графе. Для удостоверения факта разъяснения лицу его прав достаточно его подписей, которые в протоколе об административном правонарушении имеются.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процессуальных документов </w:t>
      </w:r>
      <w:r>
        <w:rPr>
          <w:rStyle w:val="cat-UserDefinedgrp-66rplc-108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лишен возможности выразить свое отношение к производимым в отношении него процессуальным действиям, однако каких-либо замечаний и возражений относительно нарушений, по его мнению, порядка направления его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не сделал.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UserDefinedgrp-73rplc-110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деле неустранимых сомнений, которые в силу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должны быть истолкованы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пользу, не соответствуют действительности, так как каких-либо неустранимых сомнений в его виновности по делу не усматривается.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остоверность и допустимость </w:t>
      </w:r>
      <w:r>
        <w:rPr>
          <w:rFonts w:ascii="Times New Roman" w:eastAsia="Times New Roman" w:hAnsi="Times New Roman" w:cs="Times New Roman"/>
          <w:sz w:val="28"/>
          <w:szCs w:val="28"/>
        </w:rPr>
        <w:t>всех собранных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сомнений у суда не вызывает,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74rplc-112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первой статьи 12.26 Кодекса Российской Федерации об административных правонарушениях –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законного требования уполномоченного должностного лица о 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(бездействие) не содержат уголовно наказуемого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 и 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его имущественное положение,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5rplc-113"/>
          <w:rFonts w:ascii="Times New Roman" w:eastAsia="Times New Roman" w:hAnsi="Times New Roman" w:cs="Times New Roman"/>
          <w:sz w:val="28"/>
          <w:szCs w:val="28"/>
        </w:rPr>
        <w:t>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12.26 Кодекса РФ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видеозаписью хранить в материалах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Отделение - НБ Республика Татарстан г. Казань//УФК по Республике Татарстан г. Казань, БИК – 019205400, ИНН - 1654002946, КПП- 165945001, КБК-18811601123010001140, ОКТМО–92633101, УИН 188104162211500</w:t>
      </w:r>
      <w:r>
        <w:rPr>
          <w:rFonts w:ascii="Times New Roman" w:eastAsia="Times New Roman" w:hAnsi="Times New Roman" w:cs="Times New Roman"/>
          <w:sz w:val="28"/>
          <w:szCs w:val="28"/>
        </w:rPr>
        <w:t>00012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Татарстан, по адресу: Республика Татарстан, Кукморский район, г. Кукмор, ул. Вахитова, д. 13.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32.7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лицо, лишенное специального права, должно сдать документы в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</w:t>
      </w:r>
      <w:r>
        <w:rPr>
          <w:rFonts w:ascii="Times New Roman" w:eastAsia="Times New Roman" w:hAnsi="Times New Roman" w:cs="Times New Roman"/>
          <w:sz w:val="28"/>
          <w:szCs w:val="28"/>
        </w:rPr>
        <w:t>Г.М.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части первой статьи 12.26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Саляхиева Радика Султангараевича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11 июля 1968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д. </w:t>
      </w:r>
      <w:r>
        <w:rPr>
          <w:rFonts w:ascii="Times New Roman" w:eastAsia="Times New Roman" w:hAnsi="Times New Roman" w:cs="Times New Roman"/>
          <w:sz w:val="28"/>
          <w:szCs w:val="28"/>
        </w:rPr>
        <w:t>Ципья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Балтасинского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Татарской 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Уразаево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Нижняя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состоящего в зарегистрированном браке, ранее привлекавшегося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Саляхиева Радика Султангараевича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12.26 Кодекса РФ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видеозаписью хранить в материалах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Отделение - НБ Республика Татарстан г. Казань//УФК по Республике Татарстан г. Казань, БИК – 019205400, ИНН - 1654002946, КПП- 165945001, КБК-18811601123010001140, ОКТМО–92633101, УИН 188104162211500</w:t>
      </w:r>
      <w:r>
        <w:rPr>
          <w:rFonts w:ascii="Times New Roman" w:eastAsia="Times New Roman" w:hAnsi="Times New Roman" w:cs="Times New Roman"/>
          <w:sz w:val="28"/>
          <w:szCs w:val="28"/>
        </w:rPr>
        <w:t>00012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Татарстан, по адресу: Республика Татарстан, Кукморский район, г. Кукмор, ул. Вахитова, д. 13.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32.7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лицо, лишенное специального права, должно сдать документы в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4rplc-21">
    <w:name w:val="cat-UserDefined grp-44 rplc-21"/>
    <w:basedOn w:val="DefaultParagraphFont"/>
  </w:style>
  <w:style w:type="character" w:customStyle="1" w:styleId="cat-UserDefinedgrp-45rplc-23">
    <w:name w:val="cat-UserDefined grp-45 rplc-23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7rplc-28">
    <w:name w:val="cat-UserDefined grp-47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49rplc-33">
    <w:name w:val="cat-UserDefined grp-49 rplc-33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51rplc-37">
    <w:name w:val="cat-UserDefined grp-51 rplc-37"/>
    <w:basedOn w:val="DefaultParagraphFont"/>
  </w:style>
  <w:style w:type="character" w:customStyle="1" w:styleId="cat-UserDefinedgrp-52rplc-39">
    <w:name w:val="cat-UserDefined grp-52 rplc-39"/>
    <w:basedOn w:val="DefaultParagraphFont"/>
  </w:style>
  <w:style w:type="character" w:customStyle="1" w:styleId="cat-UserDefinedgrp-53rplc-40">
    <w:name w:val="cat-UserDefined grp-53 rplc-40"/>
    <w:basedOn w:val="DefaultParagraphFont"/>
  </w:style>
  <w:style w:type="character" w:customStyle="1" w:styleId="cat-UserDefinedgrp-54rplc-43">
    <w:name w:val="cat-UserDefined grp-54 rplc-43"/>
    <w:basedOn w:val="DefaultParagraphFont"/>
  </w:style>
  <w:style w:type="character" w:customStyle="1" w:styleId="cat-UserDefinedgrp-55rplc-46">
    <w:name w:val="cat-UserDefined grp-55 rplc-46"/>
    <w:basedOn w:val="DefaultParagraphFont"/>
  </w:style>
  <w:style w:type="character" w:customStyle="1" w:styleId="cat-UserDefinedgrp-55rplc-51">
    <w:name w:val="cat-UserDefined grp-55 rplc-51"/>
    <w:basedOn w:val="DefaultParagraphFont"/>
  </w:style>
  <w:style w:type="character" w:customStyle="1" w:styleId="cat-UserDefinedgrp-56rplc-53">
    <w:name w:val="cat-UserDefined grp-56 rplc-53"/>
    <w:basedOn w:val="DefaultParagraphFont"/>
  </w:style>
  <w:style w:type="character" w:customStyle="1" w:styleId="cat-UserDefinedgrp-57rplc-56">
    <w:name w:val="cat-UserDefined grp-57 rplc-56"/>
    <w:basedOn w:val="DefaultParagraphFont"/>
  </w:style>
  <w:style w:type="character" w:customStyle="1" w:styleId="cat-UserDefinedgrp-58rplc-58">
    <w:name w:val="cat-UserDefined grp-58 rplc-58"/>
    <w:basedOn w:val="DefaultParagraphFont"/>
  </w:style>
  <w:style w:type="character" w:customStyle="1" w:styleId="cat-UserDefinedgrp-44rplc-61">
    <w:name w:val="cat-UserDefined grp-44 rplc-61"/>
    <w:basedOn w:val="DefaultParagraphFont"/>
  </w:style>
  <w:style w:type="character" w:customStyle="1" w:styleId="cat-UserDefinedgrp-59rplc-66">
    <w:name w:val="cat-UserDefined grp-59 rplc-66"/>
    <w:basedOn w:val="DefaultParagraphFont"/>
  </w:style>
  <w:style w:type="character" w:customStyle="1" w:styleId="cat-UserDefinedgrp-60rplc-68">
    <w:name w:val="cat-UserDefined grp-60 rplc-68"/>
    <w:basedOn w:val="DefaultParagraphFont"/>
  </w:style>
  <w:style w:type="character" w:customStyle="1" w:styleId="cat-UserDefinedgrp-61rplc-69">
    <w:name w:val="cat-UserDefined grp-61 rplc-69"/>
    <w:basedOn w:val="DefaultParagraphFont"/>
  </w:style>
  <w:style w:type="character" w:customStyle="1" w:styleId="cat-UserDefinedgrp-62rplc-75">
    <w:name w:val="cat-UserDefined grp-62 rplc-75"/>
    <w:basedOn w:val="DefaultParagraphFont"/>
  </w:style>
  <w:style w:type="character" w:customStyle="1" w:styleId="cat-UserDefinedgrp-63rplc-80">
    <w:name w:val="cat-UserDefined grp-63 rplc-80"/>
    <w:basedOn w:val="DefaultParagraphFont"/>
  </w:style>
  <w:style w:type="character" w:customStyle="1" w:styleId="cat-UserDefinedgrp-64rplc-82">
    <w:name w:val="cat-UserDefined grp-64 rplc-82"/>
    <w:basedOn w:val="DefaultParagraphFont"/>
  </w:style>
  <w:style w:type="character" w:customStyle="1" w:styleId="cat-UserDefinedgrp-65rplc-84">
    <w:name w:val="cat-UserDefined grp-65 rplc-84"/>
    <w:basedOn w:val="DefaultParagraphFont"/>
  </w:style>
  <w:style w:type="character" w:customStyle="1" w:styleId="cat-UserDefinedgrp-66rplc-86">
    <w:name w:val="cat-UserDefined grp-66 rplc-86"/>
    <w:basedOn w:val="DefaultParagraphFont"/>
  </w:style>
  <w:style w:type="character" w:customStyle="1" w:styleId="cat-UserDefinedgrp-51rplc-88">
    <w:name w:val="cat-UserDefined grp-51 rplc-88"/>
    <w:basedOn w:val="DefaultParagraphFont"/>
  </w:style>
  <w:style w:type="character" w:customStyle="1" w:styleId="cat-UserDefinedgrp-67rplc-90">
    <w:name w:val="cat-UserDefined grp-67 rplc-90"/>
    <w:basedOn w:val="DefaultParagraphFont"/>
  </w:style>
  <w:style w:type="character" w:customStyle="1" w:styleId="cat-UserDefinedgrp-68rplc-92">
    <w:name w:val="cat-UserDefined grp-68 rplc-92"/>
    <w:basedOn w:val="DefaultParagraphFont"/>
  </w:style>
  <w:style w:type="character" w:customStyle="1" w:styleId="cat-UserDefinedgrp-64rplc-94">
    <w:name w:val="cat-UserDefined grp-64 rplc-94"/>
    <w:basedOn w:val="DefaultParagraphFont"/>
  </w:style>
  <w:style w:type="character" w:customStyle="1" w:styleId="cat-UserDefinedgrp-65rplc-96">
    <w:name w:val="cat-UserDefined grp-65 rplc-96"/>
    <w:basedOn w:val="DefaultParagraphFont"/>
  </w:style>
  <w:style w:type="character" w:customStyle="1" w:styleId="cat-UserDefinedgrp-69rplc-98">
    <w:name w:val="cat-UserDefined grp-69 rplc-98"/>
    <w:basedOn w:val="DefaultParagraphFont"/>
  </w:style>
  <w:style w:type="character" w:customStyle="1" w:styleId="cat-UserDefinedgrp-70rplc-100">
    <w:name w:val="cat-UserDefined grp-70 rplc-100"/>
    <w:basedOn w:val="DefaultParagraphFont"/>
  </w:style>
  <w:style w:type="character" w:customStyle="1" w:styleId="cat-UserDefinedgrp-64rplc-102">
    <w:name w:val="cat-UserDefined grp-64 rplc-102"/>
    <w:basedOn w:val="DefaultParagraphFont"/>
  </w:style>
  <w:style w:type="character" w:customStyle="1" w:styleId="cat-UserDefinedgrp-71rplc-104">
    <w:name w:val="cat-UserDefined grp-71 rplc-104"/>
    <w:basedOn w:val="DefaultParagraphFont"/>
  </w:style>
  <w:style w:type="character" w:customStyle="1" w:styleId="cat-UserDefinedgrp-72rplc-106">
    <w:name w:val="cat-UserDefined grp-72 rplc-106"/>
    <w:basedOn w:val="DefaultParagraphFont"/>
  </w:style>
  <w:style w:type="character" w:customStyle="1" w:styleId="cat-UserDefinedgrp-66rplc-108">
    <w:name w:val="cat-UserDefined grp-66 rplc-108"/>
    <w:basedOn w:val="DefaultParagraphFont"/>
  </w:style>
  <w:style w:type="character" w:customStyle="1" w:styleId="cat-UserDefinedgrp-73rplc-110">
    <w:name w:val="cat-UserDefined grp-73 rplc-110"/>
    <w:basedOn w:val="DefaultParagraphFont"/>
  </w:style>
  <w:style w:type="character" w:customStyle="1" w:styleId="cat-UserDefinedgrp-74rplc-112">
    <w:name w:val="cat-UserDefined grp-74 rplc-112"/>
    <w:basedOn w:val="DefaultParagraphFont"/>
  </w:style>
  <w:style w:type="character" w:customStyle="1" w:styleId="cat-UserDefinedgrp-75rplc-113">
    <w:name w:val="cat-UserDefined grp-75 rplc-1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68B5E0BBE7E2E9694D5FF045E5EFF932622DFB39375AA67F0E3DB7FCD479916A1141DB64543CFDFA150380AD41933CB537FCD2DE54G6b3H" TargetMode="External" /><Relationship Id="rId11" Type="http://schemas.openxmlformats.org/officeDocument/2006/relationships/hyperlink" Target="consultantplus://offline/ref=CB68B5E0BBE7E2E9694D5FF045E5EFF9336F2FF834640DA42E5B33B2F484318124544CDA655F39F6AC4F1384E4149822B32EE2D7C05461ECG5b2H" TargetMode="External" /><Relationship Id="rId12" Type="http://schemas.openxmlformats.org/officeDocument/2006/relationships/hyperlink" Target="consultantplus://offline/ref=2B41A7B6CB96FEBFCE8EA834C804B953FA3F167FD434D0EF4BB3C93D4AC1C9FEEB14B89DDD20DB99CDCCC5E43668A59BD5888A71F014FDB3aFO3H" TargetMode="External" /><Relationship Id="rId13" Type="http://schemas.openxmlformats.org/officeDocument/2006/relationships/hyperlink" Target="consultantplus://offline/ref=62DA841975D850895BD533A51BAE47655DF7F16EC006B7BDEEB073B47750AC5BDCB27AEA6557FBHAL" TargetMode="External" /><Relationship Id="rId14" Type="http://schemas.openxmlformats.org/officeDocument/2006/relationships/hyperlink" Target="consultantplus://offline/ref=041B1582DDFF2FB73D70B78A262844962014CB8ABECC0B65A48DFC0009296BFC8B33CF8631E2B6T9H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D7D2A5725F730ECDB8A47116EB39DF0BC3991ECFEFD54B446EF00A467F8F79D25A117A4CD2F2A59EF1C5CA734BD6B13F165C20BA1An7KEI" TargetMode="External" /><Relationship Id="rId5" Type="http://schemas.openxmlformats.org/officeDocument/2006/relationships/hyperlink" Target="consultantplus://offline/ref=1CFF72D44F16AC063B04651D4A998506BF4160B3271AB2BC24E06DF2A6C0F1419A342A4E20D2BAD43B9D02D324D41C750472122C71CDu6f9G" TargetMode="External" /><Relationship Id="rId6" Type="http://schemas.openxmlformats.org/officeDocument/2006/relationships/hyperlink" Target="consultantplus://offline/ref=1CFF72D44F16AC063B04651D4A998506BF4362BA2113B2BC24E06DF2A6C0F1419A342A4924D7B8DF66C712D76D81176B026B0C296FCD6B0FuFfBG" TargetMode="External" /><Relationship Id="rId7" Type="http://schemas.openxmlformats.org/officeDocument/2006/relationships/hyperlink" Target="consultantplus://offline/ref=1CFF72D44F16AC063B04651D4A998506BF4160B3271AB2BC24E06DF2A6C0F1419A342A4A21D4BFD43B9D02D324D41C750472122C71CDu6f9G" TargetMode="External" /><Relationship Id="rId8" Type="http://schemas.openxmlformats.org/officeDocument/2006/relationships/hyperlink" Target="consultantplus://offline/ref=1CFF72D44F16AC063B04651D4A998506BF4160B3271AB2BC24E06DF2A6C0F1419A342A4025D1BDD43B9D02D324D41C750472122C71CDu6f9G" TargetMode="External" /><Relationship Id="rId9" Type="http://schemas.openxmlformats.org/officeDocument/2006/relationships/hyperlink" Target="consultantplus://offline/ref=1CFF72D44F16AC063B04651D4A998506BF4160B3271AB2BC24E06DF2A6C0F1419A342A4924D3B8D666C712D76D81176B026B0C296FCD6B0FuFfB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