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P="00B60274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D33B4">
        <w:rPr>
          <w:rFonts w:ascii="Times New Roman" w:hAnsi="Times New Roman"/>
          <w:color w:val="000000"/>
          <w:sz w:val="28"/>
          <w:szCs w:val="28"/>
        </w:rPr>
        <w:t>Гурнович</w:t>
      </w:r>
      <w:r w:rsidR="003D33B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211A9A">
        <w:rPr>
          <w:rFonts w:ascii="Times New Roman" w:hAnsi="Times New Roman"/>
          <w:color w:val="000000"/>
          <w:sz w:val="28"/>
          <w:szCs w:val="28"/>
        </w:rPr>
        <w:t>.С.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D33B4">
        <w:rPr>
          <w:rFonts w:ascii="Times New Roman" w:hAnsi="Times New Roman"/>
          <w:color w:val="000000"/>
          <w:sz w:val="28"/>
          <w:szCs w:val="28"/>
        </w:rPr>
        <w:t>гор</w:t>
      </w:r>
      <w:r w:rsidR="003D33B4">
        <w:rPr>
          <w:rFonts w:ascii="Times New Roman" w:hAnsi="Times New Roman"/>
          <w:color w:val="000000"/>
          <w:sz w:val="28"/>
          <w:szCs w:val="28"/>
        </w:rPr>
        <w:t>.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345D4A">
        <w:rPr>
          <w:rFonts w:ascii="Times New Roman" w:hAnsi="Times New Roman"/>
          <w:color w:val="000000"/>
          <w:sz w:val="28"/>
          <w:szCs w:val="28"/>
        </w:rPr>
        <w:t>,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72A">
        <w:rPr>
          <w:rFonts w:ascii="Times New Roman" w:hAnsi="Times New Roman"/>
          <w:color w:val="000000"/>
          <w:sz w:val="28"/>
          <w:szCs w:val="28"/>
        </w:rPr>
        <w:t>г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ражданина Российской Федерации, </w:t>
      </w:r>
      <w:r w:rsidR="009E3F27">
        <w:rPr>
          <w:rFonts w:ascii="Times New Roman" w:hAnsi="Times New Roman"/>
          <w:color w:val="000000"/>
          <w:sz w:val="28"/>
          <w:szCs w:val="28"/>
        </w:rPr>
        <w:t xml:space="preserve">паспорт гражданина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9E3F27">
        <w:rPr>
          <w:rFonts w:ascii="Times New Roman" w:hAnsi="Times New Roman"/>
          <w:color w:val="000000"/>
          <w:sz w:val="28"/>
          <w:szCs w:val="28"/>
        </w:rPr>
        <w:t xml:space="preserve"> районе, 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Республика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742683">
        <w:rPr>
          <w:rFonts w:ascii="Times New Roman" w:hAnsi="Times New Roman"/>
          <w:color w:val="000000"/>
          <w:sz w:val="28"/>
          <w:szCs w:val="28"/>
        </w:rPr>
        <w:t>дер.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>, ул.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>,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 работающего </w:t>
      </w:r>
      <w:r w:rsidR="00211A9A">
        <w:rPr>
          <w:rFonts w:ascii="Times New Roman" w:hAnsi="Times New Roman"/>
          <w:color w:val="000000"/>
          <w:sz w:val="28"/>
          <w:szCs w:val="28"/>
        </w:rPr>
        <w:t>***</w:t>
      </w:r>
      <w:r w:rsidR="00753D3B">
        <w:rPr>
          <w:rFonts w:ascii="Times New Roman" w:hAnsi="Times New Roman"/>
          <w:color w:val="000000"/>
          <w:sz w:val="28"/>
          <w:szCs w:val="28"/>
        </w:rPr>
        <w:t>, ранее к административной ответственности за однородные правонарушения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C5568">
        <w:rPr>
          <w:rFonts w:ascii="Times New Roman" w:hAnsi="Times New Roman"/>
          <w:color w:val="000000"/>
          <w:sz w:val="28"/>
          <w:szCs w:val="28"/>
        </w:rPr>
        <w:t>Гурнович</w:t>
      </w:r>
      <w:r w:rsidR="00BC5568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BC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BC55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CB1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896184">
        <w:rPr>
          <w:rFonts w:ascii="Times New Roman" w:hAnsi="Times New Roman"/>
          <w:color w:val="000000"/>
          <w:sz w:val="28"/>
          <w:szCs w:val="28"/>
        </w:rPr>
        <w:t>Гурнович</w:t>
      </w:r>
      <w:r w:rsidR="00896184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184">
        <w:rPr>
          <w:rFonts w:ascii="Times New Roman" w:hAnsi="Times New Roman"/>
          <w:color w:val="000000"/>
          <w:sz w:val="28"/>
          <w:szCs w:val="28"/>
        </w:rPr>
        <w:t>Гурнович</w:t>
      </w:r>
      <w:r w:rsidR="00896184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</w:t>
      </w:r>
      <w:r w:rsidR="0032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признал, пояснил суду, что 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автомобиль находи</w:t>
      </w:r>
      <w:r w:rsidR="0032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под управлением другого лица</w:t>
      </w:r>
      <w:r w:rsidR="00A0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договору аренды, копию постановления он направил арендатору для оплаты. 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154FB">
        <w:rPr>
          <w:rFonts w:ascii="Times New Roman" w:hAnsi="Times New Roman"/>
          <w:color w:val="000000"/>
          <w:sz w:val="28"/>
          <w:szCs w:val="28"/>
        </w:rPr>
        <w:t>Гурнович</w:t>
      </w:r>
      <w:r w:rsidR="000154FB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211A9A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152E7A">
        <w:rPr>
          <w:rFonts w:ascii="Times New Roman" w:hAnsi="Times New Roman"/>
          <w:sz w:val="28"/>
          <w:szCs w:val="28"/>
        </w:rPr>
        <w:t>25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152E7A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211A9A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E7A">
        <w:rPr>
          <w:rFonts w:ascii="Times New Roman" w:hAnsi="Times New Roman"/>
          <w:color w:val="000000"/>
          <w:sz w:val="28"/>
          <w:szCs w:val="28"/>
        </w:rPr>
        <w:t>23 октября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F0D55">
        <w:rPr>
          <w:rFonts w:ascii="Times New Roman" w:hAnsi="Times New Roman"/>
          <w:color w:val="000000"/>
          <w:sz w:val="28"/>
          <w:szCs w:val="28"/>
        </w:rPr>
        <w:t xml:space="preserve">09 </w:t>
      </w:r>
      <w:r w:rsidR="0030664B">
        <w:rPr>
          <w:rFonts w:ascii="Times New Roman" w:hAnsi="Times New Roman"/>
          <w:color w:val="000000"/>
          <w:sz w:val="28"/>
          <w:szCs w:val="28"/>
        </w:rPr>
        <w:t>ноября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8E2DDE" w:rsidRPr="008E2DDE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том, что он является только собственником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транспортного средства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 данным автомобилем управляло иное лицо,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могут быть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прин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яты во внимание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тем основаниям, что проверка законности и обоснованности постановления, неисполнение которого послужило основанием для привлечения физического</w:t>
      </w:r>
      <w:r w:rsidR="00F22D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лица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к административной ответственности по </w:t>
      </w:r>
      <w:r w:rsidR="00F22DDD">
        <w:rPr>
          <w:rFonts w:ascii="Times New Roman" w:hAnsi="Times New Roman"/>
          <w:sz w:val="28"/>
          <w:szCs w:val="28"/>
        </w:rPr>
        <w:t>части 1 статьи 20.25 КоАП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РФ, не входит в компетенцию мирового судьи, рассматривающего настоящее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дело, возбужденное по</w:t>
      </w:r>
      <w:r w:rsidR="00F22D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иным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правовым и фактическим основаниям. В случае несогласия с указанным постановлением </w:t>
      </w:r>
      <w:r w:rsidR="00F22DDD">
        <w:rPr>
          <w:rFonts w:ascii="Times New Roman" w:hAnsi="Times New Roman"/>
          <w:color w:val="000000"/>
          <w:sz w:val="28"/>
          <w:szCs w:val="28"/>
        </w:rPr>
        <w:t>Гурнович</w:t>
      </w:r>
      <w:r w:rsidR="00F22DDD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был лишен возможности обжаловать его в установленном законом порядке, однако данным правом не воспользовался.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Pr="008E2DDE" w:rsidR="002F0D55">
        <w:rPr>
          <w:rFonts w:ascii="Times New Roman" w:hAnsi="Times New Roman"/>
          <w:color w:val="000000"/>
          <w:sz w:val="28"/>
          <w:szCs w:val="28"/>
        </w:rPr>
        <w:t>Гурнович</w:t>
      </w:r>
      <w:r w:rsidRPr="008E2DDE" w:rsidR="002F0D55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2F0D55">
        <w:rPr>
          <w:rFonts w:ascii="Times New Roman" w:hAnsi="Times New Roman"/>
          <w:color w:val="000000"/>
          <w:sz w:val="28"/>
          <w:szCs w:val="28"/>
        </w:rPr>
        <w:t>Гурнович</w:t>
      </w:r>
      <w:r w:rsidR="002F0D55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="00F51FE6">
        <w:rPr>
          <w:rFonts w:ascii="Times New Roman" w:hAnsi="Times New Roman"/>
          <w:color w:val="000000"/>
          <w:sz w:val="28"/>
          <w:szCs w:val="28"/>
        </w:rPr>
        <w:t>имеет постоянное место работы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иждивении имеет двоих малолетних детей,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211A9A">
        <w:rPr>
          <w:rFonts w:ascii="Times New Roman" w:hAnsi="Times New Roman"/>
          <w:color w:val="000000"/>
          <w:sz w:val="28"/>
          <w:szCs w:val="28"/>
        </w:rPr>
        <w:t>,С</w:t>
      </w:r>
      <w:r w:rsidR="00211A9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EE3C56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EE3C56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EE3C5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DF5571">
        <w:rPr>
          <w:rFonts w:ascii="Times New Roman" w:hAnsi="Times New Roman"/>
          <w:color w:val="000000"/>
          <w:sz w:val="28"/>
          <w:szCs w:val="28"/>
        </w:rPr>
        <w:t>7584402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7C68EE">
        <w:rPr>
          <w:rFonts w:ascii="Times New Roman" w:hAnsi="Times New Roman"/>
          <w:color w:val="000000"/>
          <w:sz w:val="28"/>
          <w:szCs w:val="28"/>
        </w:rPr>
        <w:t>103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7C68EE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A0683A">
        <w:rPr>
          <w:rFonts w:ascii="Times New Roman" w:hAnsi="Times New Roman"/>
          <w:color w:val="000000"/>
          <w:sz w:val="28"/>
          <w:szCs w:val="28"/>
        </w:rPr>
        <w:t>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1186E">
        <w:rPr>
          <w:rFonts w:ascii="Times New Roman" w:hAnsi="Times New Roman"/>
          <w:color w:val="000000"/>
          <w:sz w:val="28"/>
          <w:szCs w:val="28"/>
        </w:rPr>
        <w:t>Гурнович</w:t>
      </w:r>
      <w:r w:rsidR="0051186E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27C8D"/>
    <w:rsid w:val="001358AA"/>
    <w:rsid w:val="0013600D"/>
    <w:rsid w:val="001406F1"/>
    <w:rsid w:val="00141B10"/>
    <w:rsid w:val="00152E7A"/>
    <w:rsid w:val="00160137"/>
    <w:rsid w:val="00166658"/>
    <w:rsid w:val="00171925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11A9A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A3189"/>
    <w:rsid w:val="002B03F6"/>
    <w:rsid w:val="002B0CCF"/>
    <w:rsid w:val="002B3D7F"/>
    <w:rsid w:val="002D3318"/>
    <w:rsid w:val="002D7527"/>
    <w:rsid w:val="002F0D55"/>
    <w:rsid w:val="002F5FB2"/>
    <w:rsid w:val="00302FF3"/>
    <w:rsid w:val="003041F6"/>
    <w:rsid w:val="0030664B"/>
    <w:rsid w:val="00307F63"/>
    <w:rsid w:val="00312847"/>
    <w:rsid w:val="00315B38"/>
    <w:rsid w:val="00320FD1"/>
    <w:rsid w:val="0032715A"/>
    <w:rsid w:val="00332B22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1430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2CEA"/>
    <w:rsid w:val="0048334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A22"/>
    <w:rsid w:val="00511741"/>
    <w:rsid w:val="0051186E"/>
    <w:rsid w:val="0051261E"/>
    <w:rsid w:val="0053365E"/>
    <w:rsid w:val="005344DE"/>
    <w:rsid w:val="00550E89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C68EE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71C95"/>
    <w:rsid w:val="00872F56"/>
    <w:rsid w:val="0087614A"/>
    <w:rsid w:val="008903F6"/>
    <w:rsid w:val="00896184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3F27"/>
    <w:rsid w:val="009E74B3"/>
    <w:rsid w:val="009F284A"/>
    <w:rsid w:val="009F5DB1"/>
    <w:rsid w:val="00A03034"/>
    <w:rsid w:val="00A030DF"/>
    <w:rsid w:val="00A0683A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B00ABA"/>
    <w:rsid w:val="00B01791"/>
    <w:rsid w:val="00B078E7"/>
    <w:rsid w:val="00B1383E"/>
    <w:rsid w:val="00B147B2"/>
    <w:rsid w:val="00B14D61"/>
    <w:rsid w:val="00B32BB0"/>
    <w:rsid w:val="00B36333"/>
    <w:rsid w:val="00B37843"/>
    <w:rsid w:val="00B37CAE"/>
    <w:rsid w:val="00B50A81"/>
    <w:rsid w:val="00B5363F"/>
    <w:rsid w:val="00B60274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3494"/>
    <w:rsid w:val="00DC54BE"/>
    <w:rsid w:val="00DC6610"/>
    <w:rsid w:val="00DD40BA"/>
    <w:rsid w:val="00DF3E1E"/>
    <w:rsid w:val="00DF40D4"/>
    <w:rsid w:val="00DF5571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0883-439A-40DF-852D-756CE078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