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4E2" w:rsidP="002604E2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175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18</w:t>
      </w:r>
    </w:p>
    <w:p w:rsidR="002604E2" w:rsidRPr="00903B2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5-117/1/2022</w:t>
      </w:r>
    </w:p>
    <w:p w:rsidR="002604E2" w:rsidP="002604E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2604E2" w:rsidP="002604E2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2604E2" w:rsidP="00260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E834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E834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23 декабря 1979 года рождения, место рождения село Татарские </w:t>
      </w:r>
      <w:r>
        <w:rPr>
          <w:rFonts w:ascii="Times New Roman" w:hAnsi="Times New Roman"/>
          <w:sz w:val="28"/>
          <w:szCs w:val="28"/>
        </w:rPr>
        <w:t>Шатрашаны</w:t>
      </w:r>
      <w:r>
        <w:rPr>
          <w:rFonts w:ascii="Times New Roman" w:hAnsi="Times New Roman"/>
          <w:sz w:val="28"/>
          <w:szCs w:val="28"/>
        </w:rPr>
        <w:t xml:space="preserve"> Дрожжановского района РТ</w:t>
      </w:r>
      <w:r w:rsidRPr="008F3A61">
        <w:rPr>
          <w:rFonts w:ascii="Times New Roman" w:hAnsi="Times New Roman"/>
          <w:sz w:val="28"/>
          <w:szCs w:val="28"/>
        </w:rPr>
        <w:t>, место регистрации село   Старое Дрожжаное</w:t>
      </w:r>
      <w:r>
        <w:rPr>
          <w:rFonts w:ascii="Times New Roman" w:hAnsi="Times New Roman"/>
          <w:sz w:val="28"/>
          <w:szCs w:val="28"/>
        </w:rPr>
        <w:t xml:space="preserve"> переулок Газовый </w:t>
      </w:r>
      <w:r w:rsidRPr="008F3A61">
        <w:rPr>
          <w:rFonts w:ascii="Times New Roman" w:hAnsi="Times New Roman"/>
          <w:sz w:val="28"/>
          <w:szCs w:val="28"/>
        </w:rPr>
        <w:t xml:space="preserve"> дом  12 Дрожжановского района Республики Татарстан</w:t>
      </w:r>
      <w:r>
        <w:rPr>
          <w:rFonts w:ascii="Times New Roman" w:hAnsi="Times New Roman"/>
          <w:sz w:val="28"/>
          <w:szCs w:val="28"/>
        </w:rPr>
        <w:t>, паспорт РФ 9201 268968</w:t>
      </w:r>
    </w:p>
    <w:p w:rsidR="002604E2" w:rsidP="00260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в селе   Старое Дрожжаное Дрожжановского района Республики Татарстан не оплатила    административный штраф в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18810173210906070390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2604E2" w:rsidP="002604E2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НФ134903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11 сентября 2021 года (л.д.5).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604E2" w:rsidP="002604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2604E2" w:rsidP="002604E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A69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BA69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2604E2" w:rsidRPr="00CF060B" w:rsidP="002604E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26660538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2604E2" w:rsidP="002604E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B4"/>
    <w:rsid w:val="002604E2"/>
    <w:rsid w:val="007F51ED"/>
    <w:rsid w:val="0089158F"/>
    <w:rsid w:val="008F3A61"/>
    <w:rsid w:val="00903B22"/>
    <w:rsid w:val="009863C8"/>
    <w:rsid w:val="00BA6955"/>
    <w:rsid w:val="00CF060B"/>
    <w:rsid w:val="00D3297F"/>
    <w:rsid w:val="00D427EB"/>
    <w:rsid w:val="00D455B4"/>
    <w:rsid w:val="00E83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4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