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E71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DF5DC4">
        <w:rPr>
          <w:sz w:val="26"/>
          <w:szCs w:val="26"/>
        </w:rPr>
        <w:t>720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</w:t>
      </w:r>
      <w:r w:rsidRPr="00812092">
        <w:rPr>
          <w:b/>
          <w:sz w:val="26"/>
          <w:szCs w:val="26"/>
        </w:rPr>
        <w:t xml:space="preserve">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 xml:space="preserve">08 июня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 xml:space="preserve"> </w:t>
      </w:r>
      <w:r w:rsidR="00DF5DC4">
        <w:rPr>
          <w:sz w:val="26"/>
          <w:szCs w:val="26"/>
        </w:rPr>
        <w:t xml:space="preserve">Шадрина </w:t>
      </w:r>
      <w:r w:rsidR="00B15166">
        <w:rPr>
          <w:sz w:val="26"/>
          <w:szCs w:val="26"/>
        </w:rPr>
        <w:t>……….</w:t>
      </w:r>
      <w:r w:rsidR="00DF5DC4">
        <w:rPr>
          <w:sz w:val="26"/>
          <w:szCs w:val="26"/>
        </w:rPr>
        <w:t xml:space="preserve">, </w:t>
      </w:r>
      <w:r w:rsidR="00B15166">
        <w:rPr>
          <w:sz w:val="26"/>
          <w:szCs w:val="26"/>
        </w:rPr>
        <w:t>………..</w:t>
      </w:r>
      <w:r w:rsidR="00DF5DC4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5B42B1">
        <w:rPr>
          <w:sz w:val="26"/>
          <w:szCs w:val="26"/>
        </w:rPr>
        <w:t>гор</w:t>
      </w:r>
      <w:r w:rsidR="005B42B1">
        <w:rPr>
          <w:sz w:val="26"/>
          <w:szCs w:val="26"/>
        </w:rPr>
        <w:t>.К</w:t>
      </w:r>
      <w:r w:rsidR="005B42B1">
        <w:rPr>
          <w:sz w:val="26"/>
          <w:szCs w:val="26"/>
        </w:rPr>
        <w:t>азань</w:t>
      </w:r>
      <w:r w:rsidR="00137570">
        <w:rPr>
          <w:sz w:val="26"/>
          <w:szCs w:val="26"/>
        </w:rPr>
        <w:t>,</w:t>
      </w:r>
      <w:r w:rsidR="00F503AB">
        <w:rPr>
          <w:sz w:val="26"/>
          <w:szCs w:val="26"/>
        </w:rPr>
        <w:t xml:space="preserve"> зарегистрированного</w:t>
      </w:r>
      <w:r>
        <w:rPr>
          <w:sz w:val="26"/>
          <w:szCs w:val="26"/>
        </w:rPr>
        <w:t xml:space="preserve"> и фактически прожива</w:t>
      </w:r>
      <w:r w:rsidR="00F503AB">
        <w:rPr>
          <w:sz w:val="26"/>
          <w:szCs w:val="26"/>
        </w:rPr>
        <w:t>ющего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B15166">
        <w:rPr>
          <w:sz w:val="26"/>
          <w:szCs w:val="26"/>
        </w:rPr>
        <w:t>………….</w:t>
      </w:r>
      <w:r w:rsidR="00DF5DC4">
        <w:rPr>
          <w:sz w:val="26"/>
          <w:szCs w:val="26"/>
        </w:rPr>
        <w:t xml:space="preserve">, паспорт серии </w:t>
      </w:r>
      <w:r w:rsidR="00B15166">
        <w:rPr>
          <w:sz w:val="26"/>
          <w:szCs w:val="26"/>
        </w:rPr>
        <w:t>………….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="005B42B1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DF5DC4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Шадрина </w:t>
      </w:r>
      <w:r w:rsidR="00B15166">
        <w:rPr>
          <w:sz w:val="26"/>
          <w:szCs w:val="26"/>
        </w:rPr>
        <w:t>……</w:t>
      </w:r>
      <w:r>
        <w:rPr>
          <w:sz w:val="26"/>
          <w:szCs w:val="26"/>
        </w:rPr>
        <w:t>.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Шадрин </w:t>
      </w:r>
      <w:r w:rsidR="00B15166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>
        <w:rPr>
          <w:sz w:val="26"/>
          <w:szCs w:val="26"/>
        </w:rPr>
        <w:t>го рассмотрения в суд не явился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</w:t>
      </w:r>
      <w:r w:rsidRPr="00812092">
        <w:rPr>
          <w:sz w:val="26"/>
          <w:szCs w:val="26"/>
        </w:rPr>
        <w:t>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DF5DC4">
        <w:rPr>
          <w:sz w:val="26"/>
          <w:szCs w:val="26"/>
        </w:rPr>
        <w:t>04.04</w:t>
      </w:r>
      <w:r w:rsidR="005B42B1">
        <w:rPr>
          <w:sz w:val="26"/>
          <w:szCs w:val="26"/>
        </w:rPr>
        <w:t xml:space="preserve">.2022 </w:t>
      </w:r>
      <w:r w:rsidRPr="00812092" w:rsidR="00B035A5">
        <w:rPr>
          <w:sz w:val="26"/>
          <w:szCs w:val="26"/>
        </w:rPr>
        <w:t xml:space="preserve">в </w:t>
      </w:r>
      <w:r w:rsidR="00DF5DC4">
        <w:rPr>
          <w:sz w:val="26"/>
          <w:szCs w:val="26"/>
        </w:rPr>
        <w:t>18</w:t>
      </w:r>
      <w:r w:rsidRPr="00812092" w:rsidR="00B035A5">
        <w:rPr>
          <w:sz w:val="26"/>
          <w:szCs w:val="26"/>
        </w:rPr>
        <w:t xml:space="preserve"> часов </w:t>
      </w:r>
      <w:r w:rsidR="00DF5DC4">
        <w:rPr>
          <w:sz w:val="26"/>
          <w:szCs w:val="26"/>
        </w:rPr>
        <w:t>30</w:t>
      </w:r>
      <w:r w:rsidRPr="00812092" w:rsidR="00B035A5">
        <w:rPr>
          <w:sz w:val="26"/>
          <w:szCs w:val="26"/>
        </w:rPr>
        <w:t xml:space="preserve"> минут </w:t>
      </w:r>
      <w:r w:rsidR="00DF5DC4">
        <w:rPr>
          <w:sz w:val="26"/>
          <w:szCs w:val="26"/>
        </w:rPr>
        <w:t xml:space="preserve">Шадрин </w:t>
      </w:r>
      <w:r w:rsidR="00B15166">
        <w:rPr>
          <w:sz w:val="26"/>
          <w:szCs w:val="26"/>
        </w:rPr>
        <w:t>………</w:t>
      </w:r>
      <w:r w:rsidR="00DF5DC4">
        <w:rPr>
          <w:sz w:val="26"/>
          <w:szCs w:val="26"/>
        </w:rPr>
        <w:t xml:space="preserve">.,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DF5DC4">
        <w:rPr>
          <w:sz w:val="26"/>
          <w:szCs w:val="26"/>
        </w:rPr>
        <w:t>134802</w:t>
      </w:r>
      <w:r w:rsidR="00F503AB">
        <w:rPr>
          <w:sz w:val="26"/>
          <w:szCs w:val="26"/>
        </w:rPr>
        <w:t>/21</w:t>
      </w:r>
      <w:r w:rsidR="00137570">
        <w:rPr>
          <w:sz w:val="26"/>
          <w:szCs w:val="26"/>
        </w:rPr>
        <w:t xml:space="preserve">/16025 </w:t>
      </w:r>
      <w:r w:rsidR="00DF5DC4">
        <w:rPr>
          <w:sz w:val="26"/>
          <w:szCs w:val="26"/>
        </w:rPr>
        <w:t>ИП от 04.04.2022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B15166">
        <w:rPr>
          <w:sz w:val="26"/>
          <w:szCs w:val="26"/>
        </w:rPr>
        <w:t>…………</w:t>
      </w:r>
      <w:r w:rsidR="00DF5DC4">
        <w:rPr>
          <w:sz w:val="26"/>
          <w:szCs w:val="26"/>
        </w:rPr>
        <w:t>, отказался впускать в квартиру для проверки имущественного положения в соответствии с заявкой № 17136/22/16025 от 04.04.2022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="00812092">
        <w:rPr>
          <w:sz w:val="26"/>
          <w:szCs w:val="26"/>
        </w:rPr>
        <w:t xml:space="preserve">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</w:t>
      </w:r>
      <w:r w:rsidRPr="00812092" w:rsidR="009A37E3">
        <w:rPr>
          <w:sz w:val="26"/>
          <w:szCs w:val="26"/>
        </w:rPr>
        <w:t xml:space="preserve"> </w:t>
      </w:r>
      <w:r w:rsidRPr="00812092" w:rsidR="009A37E3">
        <w:rPr>
          <w:sz w:val="26"/>
          <w:szCs w:val="26"/>
        </w:rPr>
        <w:t>исполнении</w:t>
      </w:r>
      <w:r w:rsidRPr="00812092" w:rsidR="009A37E3">
        <w:rPr>
          <w:sz w:val="26"/>
          <w:szCs w:val="26"/>
        </w:rPr>
        <w:t xml:space="preserve"> служебных обязанностей.</w:t>
      </w:r>
    </w:p>
    <w:p w:rsidR="00F503AB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DF5DC4">
        <w:rPr>
          <w:sz w:val="26"/>
          <w:szCs w:val="26"/>
        </w:rPr>
        <w:t xml:space="preserve">Шадрина </w:t>
      </w:r>
      <w:r w:rsidR="00B15166">
        <w:rPr>
          <w:sz w:val="26"/>
          <w:szCs w:val="26"/>
        </w:rPr>
        <w:t>………</w:t>
      </w:r>
      <w:r w:rsidR="00DF5DC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 w:rsidR="00DF5DC4">
        <w:rPr>
          <w:sz w:val="26"/>
          <w:szCs w:val="26"/>
        </w:rPr>
        <w:t>04.04.2022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 w:rsidR="00DF5DC4">
        <w:rPr>
          <w:sz w:val="26"/>
          <w:szCs w:val="26"/>
        </w:rPr>
        <w:t>23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>
        <w:rPr>
          <w:sz w:val="26"/>
          <w:szCs w:val="26"/>
        </w:rPr>
        <w:t>копией заявки на обеспечение судебными приставами по ОУПДС безопасности должностных лиц ФССП России при исполнении своих служебных обязанностей.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DF5DC4">
        <w:rPr>
          <w:sz w:val="26"/>
          <w:szCs w:val="26"/>
        </w:rPr>
        <w:t xml:space="preserve">Шадрина </w:t>
      </w:r>
      <w:r w:rsidR="00B15166">
        <w:rPr>
          <w:sz w:val="26"/>
          <w:szCs w:val="26"/>
        </w:rPr>
        <w:t>…………</w:t>
      </w:r>
      <w:r w:rsidR="00DF5DC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DF5DC4">
        <w:rPr>
          <w:sz w:val="26"/>
          <w:szCs w:val="26"/>
        </w:rPr>
        <w:t xml:space="preserve">Шадрина </w:t>
      </w:r>
      <w:r w:rsidR="00B15166">
        <w:rPr>
          <w:sz w:val="26"/>
          <w:szCs w:val="26"/>
        </w:rPr>
        <w:t>………</w:t>
      </w:r>
      <w:r w:rsidR="00DF5DC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DF5DC4">
        <w:rPr>
          <w:sz w:val="26"/>
          <w:szCs w:val="26"/>
        </w:rPr>
        <w:t xml:space="preserve">Шадрину </w:t>
      </w:r>
      <w:r w:rsidR="00B15166">
        <w:rPr>
          <w:sz w:val="26"/>
          <w:szCs w:val="26"/>
        </w:rPr>
        <w:t>……..</w:t>
      </w:r>
      <w:r w:rsidR="00DF5DC4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административное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DF5DC4">
        <w:rPr>
          <w:sz w:val="26"/>
          <w:szCs w:val="26"/>
        </w:rPr>
        <w:t xml:space="preserve">Шадрина </w:t>
      </w:r>
      <w:r w:rsidR="00B15166">
        <w:rPr>
          <w:sz w:val="26"/>
          <w:szCs w:val="26"/>
        </w:rPr>
        <w:t>………..</w:t>
      </w:r>
      <w:r w:rsidR="00DF5DC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DF5DC4">
        <w:rPr>
          <w:sz w:val="26"/>
          <w:szCs w:val="26"/>
        </w:rPr>
        <w:t>8232600.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812092">
        <w:rPr>
          <w:sz w:val="26"/>
          <w:szCs w:val="26"/>
        </w:rPr>
        <w:t xml:space="preserve">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4F4E71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4E71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15166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