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MS0143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5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243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ОВЛЕНИЕ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rStyle w:val="DefaultParagraphFont"/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right="17" w:firstLine="709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ировой судья судебного участка №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Апастовскому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 CYR" w:eastAsia="Times New Roman CYR" w:hAnsi="Times New Roman CYR" w:cs="Times New Roman CYR"/>
          <w:sz w:val="28"/>
          <w:szCs w:val="28"/>
        </w:rPr>
        <w:t>адрес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Каримуллин Р.Х.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 по ч.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аналогичное правонарушение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привлекался, 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9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Паули П.В.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втомобильной </w:t>
      </w:r>
      <w:r>
        <w:rPr>
          <w:rStyle w:val="cat-Addressgrp-7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30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32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двигаясь со стороны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ПДД РФ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обгон автомобиля </w:t>
      </w:r>
      <w:r>
        <w:rPr>
          <w:rStyle w:val="cat-CarMakeModelgrp-31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33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выездом на полосу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встречного движения, т.е. нарушил п. 1.3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привлекаемое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Паули П.В.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>онверт с судебной повесткой вернулся с отметкой «</w:t>
      </w:r>
      <w:r>
        <w:rPr>
          <w:rFonts w:ascii="Times New Roman" w:eastAsia="Times New Roman" w:hAnsi="Times New Roman" w:cs="Times New Roman"/>
          <w:sz w:val="28"/>
          <w:szCs w:val="28"/>
        </w:rPr>
        <w:t>истек срок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считает возможным рассмотреть дело в его отсутствие,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и обязанности, предусмотренные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 КоАП РФ и ст. 51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Паули П.В.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при составлении протокола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разъяснений Постановления Пленума Верховного Суда Российской Федерации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(в ред. Постановлений Пленума Верховного Суда РФ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12, от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23, от </w:t>
      </w:r>
      <w:r>
        <w:rPr>
          <w:rStyle w:val="cat-Dategrp-15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13, от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3, от </w:t>
      </w:r>
      <w:r>
        <w:rPr>
          <w:rStyle w:val="cat-Dategrp-1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40) лицо, в отношении которого ведется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7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343.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4 ст. 12.15 КоАП РФ, выезд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влечет административное наказание.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Постановления Пленума Верховного Суда РФ от </w:t>
      </w:r>
      <w:r>
        <w:rPr>
          <w:rStyle w:val="cat-Dategrp-1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18 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</w:t>
      </w:r>
      <w:r>
        <w:rPr>
          <w:rStyle w:val="cat-Dategrp-1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2, движение по дороге с двусторонним движением в нарушение требований дорожных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знаков 3.20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когда это связано с выездом на полосу встречного движения, и (или) дорожной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Противоправный выезд на сторону дороги, предназначенной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 в связи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ответственности за него, по смыслу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12.15 КоАП Российской Федерации во взаимосвязи с его статьями 2.1 и 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подлежат лица, совершившие соответствующее деяние как умышленно, так и по неосторожности.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1.3 Правил дорожного движения Российской Федерации, участники дорожного движения обязаны </w:t>
      </w:r>
      <w:r>
        <w:rPr>
          <w:rFonts w:ascii="Times New Roman" w:eastAsia="Times New Roman" w:hAnsi="Times New Roman" w:cs="Times New Roman"/>
          <w:sz w:val="28"/>
          <w:szCs w:val="28"/>
        </w:rPr>
        <w:t>знать и соблюдать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Действие дорожных знаков и дорожной разметки распространяется на всех участников дорожного движения, что следует из пункта 1.3 ПДД РФ, в связи с чем, водитель транспортного средства должен двигаться таким образом, чтобы у него имелась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наблюдать за дорожными знаками и соблюдать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требования. При осуществлении маневра обгона водитель должен убедиться в его правомерности и безопасности.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рассматриваемом случае </w:t>
      </w:r>
      <w:r>
        <w:rPr>
          <w:rFonts w:ascii="Times New Roman" w:eastAsia="Times New Roman" w:hAnsi="Times New Roman" w:cs="Times New Roman"/>
          <w:sz w:val="28"/>
          <w:szCs w:val="28"/>
        </w:rPr>
        <w:t>Паули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ПДД нарушил. </w:t>
      </w:r>
      <w:r>
        <w:rPr>
          <w:rFonts w:ascii="Times New Roman" w:eastAsia="Times New Roman" w:hAnsi="Times New Roman" w:cs="Times New Roman"/>
          <w:sz w:val="28"/>
          <w:szCs w:val="28"/>
        </w:rPr>
        <w:t>Факт совершения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12.15 КоАП РФ, и его виновность подтверждаются совокупностью доказательств, достоверность и допустимость которых сомнений не вызывают,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Style w:val="cat-PhoneNumbergrp-3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схемой дислокации дорожных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>Паули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доверять представленным материалам дела у мирового судьи не имеются оснований, поскольку они составлены уполномоченным лицом и в соответствии с требованиями КоАП РФ. Кроме того, в материалах дела отсутствуют данны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свидетельствующи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</w:t>
      </w:r>
      <w:r>
        <w:rPr>
          <w:rFonts w:ascii="Times New Roman" w:eastAsia="Times New Roman" w:hAnsi="Times New Roman" w:cs="Times New Roman"/>
          <w:sz w:val="28"/>
          <w:szCs w:val="28"/>
        </w:rPr>
        <w:t>ии у и</w:t>
      </w:r>
      <w:r>
        <w:rPr>
          <w:rFonts w:ascii="Times New Roman" w:eastAsia="Times New Roman" w:hAnsi="Times New Roman" w:cs="Times New Roman"/>
          <w:sz w:val="28"/>
          <w:szCs w:val="28"/>
        </w:rPr>
        <w:t>нспектора ДПС необходимости для искусственного создания доказательств.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оцениваются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свидетельствуют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Паули П.В.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Паули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12.15 КоАП РФ, как выезд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дорожного движения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полосу, предназначенную для встречного движения.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лица, совершившего административное правонарушение, 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суд, учитывая характер и степень опасности совершенного правонарушения, совершение административного правонарушения впервые, приходит к выводу о необходимости назначения наказания в виде административного штрафа,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оводствуясь ст. </w:t>
      </w:r>
      <w:r>
        <w:rPr>
          <w:rFonts w:ascii="Times New Roman" w:eastAsia="Times New Roman" w:hAnsi="Times New Roman" w:cs="Times New Roman"/>
          <w:sz w:val="28"/>
          <w:szCs w:val="28"/>
        </w:rPr>
        <w:t>29.7, 29.9-29.11 КоАП РФ, суд</w:t>
      </w:r>
    </w:p>
    <w:p>
      <w:pPr>
        <w:spacing w:before="0" w:after="0"/>
        <w:ind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2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4 статьи 12.15 КоАП РФ и назначить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24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платежных документах указываются следующие сведения: Получатель: УФК по РТ (УГИБДД МВД по РТ),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Отделение-НБ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РТ </w:t>
      </w:r>
      <w:r>
        <w:rPr>
          <w:rStyle w:val="cat-Addressgrp-5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7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8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9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28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40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номер казначейского счета 03100643000000011100, номер единого казначейского счета 40102810445370000079, КБК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платежа: «штраф за нарушение правил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движения».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Style w:val="cat-PhoneNumbergrp-36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1881041622199002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32.2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может быть оплачен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 в размере половины суммы наложенного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Паули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КоАП РФ установлена административная ответственность за неуплату административного штрафа в установленный законом срок.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</w:t>
      </w:r>
      <w:r>
        <w:rPr>
          <w:rStyle w:val="cat-PhoneNumbergrp-41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8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направить по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>
          <w:rPr>
            <w:rFonts w:ascii="Times New Roman" w:eastAsia="Times New Roman" w:hAnsi="Times New Roman" w:cs="Times New Roman"/>
            <w:b/>
            <w:bCs/>
            <w:color w:val="0000EE"/>
            <w:sz w:val="28"/>
            <w:szCs w:val="28"/>
            <w:u w:val="single" w:color="0000EE"/>
          </w:rPr>
          <w:t>ms</w:t>
        </w:r>
        <w:r>
          <w:rPr>
            <w:rFonts w:ascii="Times New Roman" w:eastAsia="Times New Roman" w:hAnsi="Times New Roman" w:cs="Times New Roman"/>
            <w:b/>
            <w:bCs/>
            <w:color w:val="0000EE"/>
            <w:sz w:val="28"/>
            <w:szCs w:val="28"/>
            <w:u w:val="single" w:color="0000EE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color w:val="0000EE"/>
            <w:sz w:val="28"/>
            <w:szCs w:val="28"/>
            <w:u w:val="single" w:color="0000EE"/>
          </w:rPr>
          <w:t>tatar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в Апастовский районный суд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  <w:szCs w:val="28"/>
        </w:rPr>
        <w:t>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Апастовско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ind w:left="720" w:firstLine="72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sectPr>
      <w:headerReference w:type="default" r:id="rId12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8932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34rplc-0">
    <w:name w:val="cat-PhoneNumber grp-34 rplc-0"/>
    <w:basedOn w:val="DefaultParagraphFont"/>
  </w:style>
  <w:style w:type="character" w:customStyle="1" w:styleId="cat-PhoneNumbergrp-35rplc-1">
    <w:name w:val="cat-PhoneNumber grp-35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9rplc-12">
    <w:name w:val="cat-Time grp-29 rplc-12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MakeModelgrp-30rplc-16">
    <w:name w:val="cat-CarMakeModel grp-30 rplc-16"/>
    <w:basedOn w:val="DefaultParagraphFont"/>
  </w:style>
  <w:style w:type="character" w:customStyle="1" w:styleId="cat-CarNumbergrp-32rplc-17">
    <w:name w:val="cat-CarNumber grp-32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CarMakeModelgrp-31rplc-20">
    <w:name w:val="cat-CarMakeModel grp-31 rplc-20"/>
    <w:basedOn w:val="DefaultParagraphFont"/>
  </w:style>
  <w:style w:type="character" w:customStyle="1" w:styleId="cat-CarNumbergrp-33rplc-21">
    <w:name w:val="cat-CarNumber grp-33 rplc-21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OrganizationNamegrp-27rplc-30">
    <w:name w:val="cat-OrganizationName grp-27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8rplc-32">
    <w:name w:val="cat-Date grp-18 rplc-32"/>
    <w:basedOn w:val="DefaultParagraphFont"/>
  </w:style>
  <w:style w:type="character" w:customStyle="1" w:styleId="cat-Dategrp-19rplc-33">
    <w:name w:val="cat-Date grp-19 rplc-33"/>
    <w:basedOn w:val="DefaultParagraphFont"/>
  </w:style>
  <w:style w:type="character" w:customStyle="1" w:styleId="cat-PhoneNumbergrp-36rplc-35">
    <w:name w:val="cat-PhoneNumber grp-36 rplc-35"/>
    <w:basedOn w:val="DefaultParagraphFont"/>
  </w:style>
  <w:style w:type="character" w:customStyle="1" w:styleId="cat-Dategrp-20rplc-36">
    <w:name w:val="cat-Date grp-20 rplc-36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Sumgrp-24rplc-41">
    <w:name w:val="cat-Sum grp-24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PhoneNumbergrp-37rplc-44">
    <w:name w:val="cat-PhoneNumber grp-37 rplc-44"/>
    <w:basedOn w:val="DefaultParagraphFont"/>
  </w:style>
  <w:style w:type="character" w:customStyle="1" w:styleId="cat-PhoneNumbergrp-38rplc-45">
    <w:name w:val="cat-PhoneNumber grp-38 rplc-45"/>
    <w:basedOn w:val="DefaultParagraphFont"/>
  </w:style>
  <w:style w:type="character" w:customStyle="1" w:styleId="cat-PhoneNumbergrp-39rplc-46">
    <w:name w:val="cat-PhoneNumber grp-39 rplc-46"/>
    <w:basedOn w:val="DefaultParagraphFont"/>
  </w:style>
  <w:style w:type="character" w:customStyle="1" w:styleId="cat-OrganizationNamegrp-28rplc-47">
    <w:name w:val="cat-OrganizationName grp-28 rplc-47"/>
    <w:basedOn w:val="DefaultParagraphFont"/>
  </w:style>
  <w:style w:type="character" w:customStyle="1" w:styleId="cat-PhoneNumbergrp-40rplc-48">
    <w:name w:val="cat-PhoneNumber grp-40 rplc-48"/>
    <w:basedOn w:val="DefaultParagraphFont"/>
  </w:style>
  <w:style w:type="character" w:customStyle="1" w:styleId="cat-PhoneNumbergrp-36rplc-49">
    <w:name w:val="cat-PhoneNumber grp-36 rplc-49"/>
    <w:basedOn w:val="DefaultParagraphFont"/>
  </w:style>
  <w:style w:type="character" w:customStyle="1" w:styleId="cat-Dategrp-20rplc-50">
    <w:name w:val="cat-Date grp-20 rplc-50"/>
    <w:basedOn w:val="DefaultParagraphFont"/>
  </w:style>
  <w:style w:type="character" w:customStyle="1" w:styleId="cat-PhoneNumbergrp-41rplc-52">
    <w:name w:val="cat-PhoneNumber grp-41 rplc-52"/>
    <w:basedOn w:val="DefaultParagraphFont"/>
  </w:style>
  <w:style w:type="character" w:customStyle="1" w:styleId="cat-Addressgrp-8rplc-53">
    <w:name w:val="cat-Address grp-8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E624B02AB96391A5F5F7C6EEC4AFFFF1C37CE4D63AC257497EA273E195E01BE87594ECF9B9A1C8X3N4F" TargetMode="External" /><Relationship Id="rId11" Type="http://schemas.openxmlformats.org/officeDocument/2006/relationships/hyperlink" Target="mailto:ms.0601@tatar" TargetMode="External" /><Relationship Id="rId12" Type="http://schemas.openxmlformats.org/officeDocument/2006/relationships/header" Target="header1.xml" /><Relationship Id="rId13" Type="http://schemas.openxmlformats.org/officeDocument/2006/relationships/glossaryDocument" Target="glossary/document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E4C43BBD39E77CB514BB25CF032275FD5F2CAFD0EACCDFB440A4689E2C62C29D77162C08FDC99Dp2e4F" TargetMode="External" /><Relationship Id="rId5" Type="http://schemas.openxmlformats.org/officeDocument/2006/relationships/hyperlink" Target="consultantplus://offline/ref=70FDDBDE133633053D7AF514867D3B8B984503F779F24A48EA70C9F178BACE957C078B467C77GFF" TargetMode="External" /><Relationship Id="rId6" Type="http://schemas.openxmlformats.org/officeDocument/2006/relationships/hyperlink" Target="consultantplus://offline/ref=70FDDBDE133633053D7AF514867D3B8B984503F779F24A48EA70C9F178BACE957C078B467D7B612774G4F" TargetMode="External" /><Relationship Id="rId7" Type="http://schemas.openxmlformats.org/officeDocument/2006/relationships/hyperlink" Target="consultantplus://offline/ref=70FDDBDE133633053D7AF514867D3B8B984503F779F24A48EA70C9F178BACE957C078B467D7B612674G1F" TargetMode="External" /><Relationship Id="rId8" Type="http://schemas.openxmlformats.org/officeDocument/2006/relationships/hyperlink" Target="consultantplus://offline/ref=70FDDBDE133633053D7AF514867D3B8B984503F779F24A48EA70C9F178BACE957C078B467D7B612674G9F" TargetMode="External" /><Relationship Id="rId9" Type="http://schemas.openxmlformats.org/officeDocument/2006/relationships/hyperlink" Target="consultantplus://offline/ref=70FDDBDE133633053D7AF514867D3B8B984503F578F44A48EA70C9F178BACE957C078B457F7E76G3F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E82EF-F508-40C0-90AC-1DE6F26C492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